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9BC" w:rsidRDefault="009839BC" w:rsidP="009839BC">
      <w:pPr>
        <w:bidi w:val="0"/>
        <w:jc w:val="center"/>
        <w:rPr>
          <w:color w:val="000000"/>
        </w:rPr>
      </w:pPr>
      <w:r>
        <w:rPr>
          <w:color w:val="000000"/>
        </w:rPr>
        <w:t>Chapter One</w:t>
      </w:r>
    </w:p>
    <w:p w:rsidR="009839BC" w:rsidRPr="00E33879" w:rsidRDefault="009839BC" w:rsidP="009839BC">
      <w:pPr>
        <w:rPr>
          <w:color w:val="000000"/>
          <w:rtl/>
        </w:rPr>
      </w:pPr>
    </w:p>
    <w:p w:rsidR="009839BC" w:rsidRDefault="009839BC" w:rsidP="009839BC">
      <w:pPr>
        <w:pStyle w:val="Heading2"/>
        <w:bidi/>
        <w:rPr>
          <w:color w:val="000000"/>
          <w:rtl/>
          <w:lang w:val="en-GB"/>
        </w:rPr>
      </w:pPr>
      <w:r>
        <w:rPr>
          <w:color w:val="000000"/>
        </w:rPr>
        <w:t>Main Findings</w:t>
      </w:r>
    </w:p>
    <w:p w:rsidR="009839BC" w:rsidRDefault="009839BC" w:rsidP="009839BC">
      <w:pPr>
        <w:jc w:val="center"/>
        <w:rPr>
          <w:color w:val="000000"/>
          <w:rtl/>
          <w:lang w:val="en-GB"/>
        </w:rPr>
      </w:pPr>
    </w:p>
    <w:p w:rsidR="009839BC" w:rsidRDefault="009839BC" w:rsidP="009839BC">
      <w:pPr>
        <w:bidi w:val="0"/>
        <w:jc w:val="center"/>
        <w:rPr>
          <w:b/>
          <w:bCs/>
          <w:color w:val="000000"/>
          <w:sz w:val="4"/>
          <w:szCs w:val="4"/>
        </w:rPr>
      </w:pPr>
    </w:p>
    <w:p w:rsidR="009839BC" w:rsidRDefault="009839BC" w:rsidP="009839BC">
      <w:pPr>
        <w:bidi w:val="0"/>
        <w:jc w:val="center"/>
        <w:rPr>
          <w:b/>
          <w:bCs/>
          <w:color w:val="000000"/>
          <w:sz w:val="4"/>
          <w:szCs w:val="4"/>
        </w:rPr>
      </w:pPr>
    </w:p>
    <w:p w:rsidR="009839BC" w:rsidRDefault="009839BC" w:rsidP="009839BC">
      <w:pPr>
        <w:pStyle w:val="Title"/>
        <w:jc w:val="left"/>
        <w:rPr>
          <w:rFonts w:ascii="Times New Roman"/>
          <w:color w:val="000000"/>
          <w:sz w:val="24"/>
          <w:szCs w:val="24"/>
        </w:rPr>
      </w:pPr>
      <w:r>
        <w:rPr>
          <w:rFonts w:ascii="Times New Roman"/>
          <w:color w:val="000000"/>
          <w:sz w:val="24"/>
          <w:szCs w:val="24"/>
        </w:rPr>
        <w:t>1. Total Expenditure on Health in Palestine</w:t>
      </w:r>
    </w:p>
    <w:p w:rsidR="009839BC" w:rsidRDefault="009839BC" w:rsidP="002A2BF6">
      <w:pPr>
        <w:pStyle w:val="Title"/>
        <w:jc w:val="both"/>
        <w:rPr>
          <w:rFonts w:ascii="Times New Roman"/>
          <w:b w:val="0"/>
          <w:bCs w:val="0"/>
          <w:color w:val="000000"/>
          <w:sz w:val="24"/>
          <w:szCs w:val="24"/>
        </w:rPr>
      </w:pPr>
      <w:r>
        <w:rPr>
          <w:rFonts w:ascii="Times New Roman"/>
          <w:b w:val="0"/>
          <w:bCs w:val="0"/>
          <w:color w:val="000000"/>
          <w:sz w:val="24"/>
          <w:szCs w:val="24"/>
        </w:rPr>
        <w:t xml:space="preserve">The results of the Palestinian Health Accounts for </w:t>
      </w:r>
      <w:r w:rsidR="00D9007E">
        <w:rPr>
          <w:rFonts w:ascii="Times New Roman"/>
          <w:b w:val="0"/>
          <w:bCs w:val="0"/>
          <w:color w:val="000000"/>
          <w:sz w:val="24"/>
          <w:szCs w:val="24"/>
        </w:rPr>
        <w:t>2014</w:t>
      </w:r>
      <w:r>
        <w:rPr>
          <w:rFonts w:ascii="Times New Roman"/>
          <w:b w:val="0"/>
          <w:bCs w:val="0"/>
          <w:color w:val="000000"/>
          <w:sz w:val="24"/>
          <w:szCs w:val="24"/>
        </w:rPr>
        <w:t xml:space="preserve"> in Palestine are classified by providers, functions, and sources of funding. They reveal an increase by </w:t>
      </w:r>
      <w:r w:rsidR="00D9007E">
        <w:rPr>
          <w:rFonts w:ascii="Times New Roman"/>
          <w:b w:val="0"/>
          <w:bCs w:val="0"/>
          <w:color w:val="000000"/>
          <w:sz w:val="24"/>
          <w:szCs w:val="24"/>
        </w:rPr>
        <w:t>3.3</w:t>
      </w:r>
      <w:r>
        <w:rPr>
          <w:rFonts w:ascii="Times New Roman"/>
          <w:b w:val="0"/>
          <w:bCs w:val="0"/>
          <w:color w:val="000000"/>
          <w:sz w:val="24"/>
          <w:szCs w:val="24"/>
        </w:rPr>
        <w:t xml:space="preserve">% in the total expenditure on health in all </w:t>
      </w:r>
      <w:r w:rsidR="002A2BF6">
        <w:rPr>
          <w:rFonts w:ascii="Times New Roman"/>
          <w:b w:val="0"/>
          <w:bCs w:val="0"/>
          <w:color w:val="000000"/>
          <w:sz w:val="24"/>
          <w:szCs w:val="24"/>
        </w:rPr>
        <w:t>institutional</w:t>
      </w:r>
      <w:r>
        <w:rPr>
          <w:rFonts w:ascii="Times New Roman"/>
          <w:b w:val="0"/>
          <w:bCs w:val="0"/>
          <w:color w:val="000000"/>
          <w:sz w:val="24"/>
          <w:szCs w:val="24"/>
        </w:rPr>
        <w:t xml:space="preserve"> sectors:</w:t>
      </w:r>
      <w:r>
        <w:rPr>
          <w:rFonts w:ascii="Times New Roman"/>
          <w:b w:val="0"/>
          <w:bCs w:val="0"/>
          <w:color w:val="000000"/>
          <w:sz w:val="24"/>
          <w:szCs w:val="24"/>
          <w:lang w:val="en-US"/>
        </w:rPr>
        <w:t xml:space="preserve"> In 20</w:t>
      </w:r>
      <w:r w:rsidR="00D9007E">
        <w:rPr>
          <w:rFonts w:ascii="Times New Roman"/>
          <w:b w:val="0"/>
          <w:bCs w:val="0"/>
          <w:color w:val="000000"/>
          <w:sz w:val="24"/>
          <w:szCs w:val="24"/>
          <w:lang w:val="en-US"/>
        </w:rPr>
        <w:t>13</w:t>
      </w:r>
      <w:r>
        <w:rPr>
          <w:rFonts w:ascii="Times New Roman"/>
          <w:b w:val="0"/>
          <w:bCs w:val="0"/>
          <w:color w:val="000000"/>
          <w:sz w:val="24"/>
          <w:szCs w:val="24"/>
          <w:lang w:val="en-US"/>
        </w:rPr>
        <w:t xml:space="preserve"> </w:t>
      </w:r>
      <w:r>
        <w:rPr>
          <w:rFonts w:ascii="Times New Roman"/>
          <w:b w:val="0"/>
          <w:bCs w:val="0"/>
          <w:color w:val="000000"/>
          <w:sz w:val="24"/>
          <w:szCs w:val="24"/>
        </w:rPr>
        <w:t>health expenditure totalled USD 1,</w:t>
      </w:r>
      <w:r w:rsidR="00D9007E">
        <w:rPr>
          <w:rFonts w:ascii="Times New Roman"/>
          <w:b w:val="0"/>
          <w:bCs w:val="0"/>
          <w:color w:val="000000"/>
          <w:sz w:val="24"/>
          <w:szCs w:val="24"/>
        </w:rPr>
        <w:t>347</w:t>
      </w:r>
      <w:r>
        <w:rPr>
          <w:rFonts w:ascii="Times New Roman"/>
          <w:b w:val="0"/>
          <w:bCs w:val="0"/>
          <w:color w:val="000000"/>
          <w:sz w:val="24"/>
          <w:szCs w:val="24"/>
        </w:rPr>
        <w:t xml:space="preserve"> million compared to USD 1,3</w:t>
      </w:r>
      <w:r w:rsidR="00D9007E">
        <w:rPr>
          <w:rFonts w:ascii="Times New Roman"/>
          <w:b w:val="0"/>
          <w:bCs w:val="0"/>
          <w:color w:val="000000"/>
          <w:sz w:val="24"/>
          <w:szCs w:val="24"/>
        </w:rPr>
        <w:t>91</w:t>
      </w:r>
      <w:r w:rsidRPr="00186EFB">
        <w:rPr>
          <w:rFonts w:ascii="Times New Roman"/>
          <w:b w:val="0"/>
          <w:bCs w:val="0"/>
          <w:color w:val="000000"/>
          <w:sz w:val="24"/>
          <w:szCs w:val="24"/>
        </w:rPr>
        <w:t xml:space="preserve"> </w:t>
      </w:r>
      <w:r w:rsidR="00D9007E">
        <w:rPr>
          <w:rFonts w:ascii="Times New Roman"/>
          <w:b w:val="0"/>
          <w:bCs w:val="0"/>
          <w:color w:val="000000"/>
          <w:sz w:val="24"/>
          <w:szCs w:val="24"/>
        </w:rPr>
        <w:t>million in 2014</w:t>
      </w:r>
      <w:r>
        <w:rPr>
          <w:rFonts w:ascii="Times New Roman"/>
          <w:b w:val="0"/>
          <w:bCs w:val="0"/>
          <w:color w:val="000000"/>
          <w:sz w:val="24"/>
          <w:szCs w:val="24"/>
        </w:rPr>
        <w:t>.</w:t>
      </w:r>
    </w:p>
    <w:p w:rsidR="009839BC" w:rsidRDefault="009839BC" w:rsidP="009839BC">
      <w:pPr>
        <w:rPr>
          <w:rtl/>
          <w:lang w:val="en-GB" w:eastAsia="ar-JO"/>
        </w:rPr>
      </w:pPr>
    </w:p>
    <w:p w:rsidR="009839BC" w:rsidRDefault="009839BC" w:rsidP="000745F8">
      <w:pPr>
        <w:pStyle w:val="Subtitle"/>
        <w:rPr>
          <w:rFonts w:ascii="Arial" w:hAnsi="Arial" w:cs="Arial"/>
          <w:color w:val="000000"/>
          <w:sz w:val="22"/>
          <w:szCs w:val="22"/>
        </w:rPr>
      </w:pPr>
      <w:r w:rsidRPr="00815514">
        <w:rPr>
          <w:rFonts w:ascii="Arial" w:hAnsi="Arial" w:cs="Arial"/>
          <w:color w:val="000000"/>
          <w:sz w:val="22"/>
          <w:szCs w:val="22"/>
        </w:rPr>
        <w:t>Health Expenditure</w:t>
      </w:r>
      <w:r w:rsidR="000745F8">
        <w:rPr>
          <w:rFonts w:ascii="Arial" w:hAnsi="Arial" w:cs="Arial"/>
          <w:color w:val="000000"/>
          <w:sz w:val="22"/>
          <w:szCs w:val="22"/>
        </w:rPr>
        <w:t xml:space="preserve"> </w:t>
      </w:r>
      <w:r w:rsidRPr="00815514">
        <w:rPr>
          <w:rFonts w:ascii="Arial" w:hAnsi="Arial" w:cs="Arial"/>
          <w:color w:val="000000"/>
          <w:sz w:val="22"/>
          <w:szCs w:val="22"/>
        </w:rPr>
        <w:t>Trend Line in Palestine 2000-</w:t>
      </w:r>
      <w:r w:rsidR="00D9007E">
        <w:rPr>
          <w:rFonts w:ascii="Arial" w:hAnsi="Arial" w:cs="Arial"/>
          <w:color w:val="000000"/>
          <w:sz w:val="22"/>
          <w:szCs w:val="22"/>
        </w:rPr>
        <w:t>2014</w:t>
      </w:r>
    </w:p>
    <w:p w:rsidR="009839BC" w:rsidRPr="000745F8" w:rsidRDefault="009839BC" w:rsidP="009839BC">
      <w:pPr>
        <w:pStyle w:val="Subtitle"/>
        <w:rPr>
          <w:rFonts w:ascii="Arial" w:hAnsi="Arial" w:cs="Arial"/>
          <w:noProof w:val="0"/>
          <w:color w:val="000000"/>
          <w:sz w:val="10"/>
          <w:szCs w:val="10"/>
        </w:rPr>
      </w:pPr>
    </w:p>
    <w:tbl>
      <w:tblPr>
        <w:tblStyle w:val="TableGrid"/>
        <w:tblW w:w="9072" w:type="dxa"/>
        <w:jc w:val="center"/>
        <w:tblLook w:val="04A0"/>
      </w:tblPr>
      <w:tblGrid>
        <w:gridCol w:w="9171"/>
      </w:tblGrid>
      <w:tr w:rsidR="009839BC" w:rsidTr="000745F8">
        <w:trPr>
          <w:jc w:val="center"/>
        </w:trPr>
        <w:tc>
          <w:tcPr>
            <w:tcW w:w="9287" w:type="dxa"/>
          </w:tcPr>
          <w:p w:rsidR="009839BC" w:rsidRDefault="00A5009D" w:rsidP="000F14AE">
            <w:pPr>
              <w:pStyle w:val="Subtitle"/>
              <w:rPr>
                <w:rFonts w:ascii="Arial" w:hAnsi="Arial" w:cs="Arial"/>
                <w:noProof w:val="0"/>
                <w:color w:val="000000"/>
                <w:sz w:val="22"/>
                <w:szCs w:val="22"/>
              </w:rPr>
            </w:pPr>
            <w:r w:rsidRPr="00A5009D">
              <w:rPr>
                <w:rFonts w:ascii="Arial" w:hAnsi="Arial" w:cs="Arial"/>
                <w:color w:val="000000"/>
                <w:sz w:val="22"/>
                <w:szCs w:val="22"/>
              </w:rPr>
              <w:drawing>
                <wp:inline distT="0" distB="0" distL="0" distR="0">
                  <wp:extent cx="5686425" cy="229552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839BC" w:rsidRDefault="009839BC" w:rsidP="009839BC">
      <w:pPr>
        <w:pStyle w:val="Subtitle"/>
        <w:jc w:val="left"/>
        <w:rPr>
          <w:rFonts w:ascii="Times New Roman" w:hAnsi="Times New Roman"/>
          <w:color w:val="000000"/>
          <w:sz w:val="24"/>
          <w:szCs w:val="24"/>
        </w:rPr>
      </w:pPr>
    </w:p>
    <w:p w:rsidR="00016F8F" w:rsidRDefault="00774305" w:rsidP="00016F8F">
      <w:pPr>
        <w:pStyle w:val="Subtitle"/>
        <w:jc w:val="left"/>
        <w:rPr>
          <w:rFonts w:ascii="Times New Roman" w:hAnsi="Times New Roman"/>
          <w:color w:val="000000"/>
          <w:sz w:val="24"/>
          <w:szCs w:val="24"/>
        </w:rPr>
      </w:pPr>
      <w:r>
        <w:rPr>
          <w:rFonts w:ascii="Times New Roman" w:hAnsi="Times New Roman"/>
          <w:color w:val="000000"/>
          <w:sz w:val="24"/>
          <w:szCs w:val="24"/>
        </w:rPr>
        <w:t>2</w:t>
      </w:r>
      <w:r w:rsidR="00016F8F">
        <w:rPr>
          <w:rFonts w:ascii="Times New Roman" w:hAnsi="Times New Roman"/>
          <w:color w:val="000000"/>
          <w:sz w:val="24"/>
          <w:szCs w:val="24"/>
        </w:rPr>
        <w:t>. Sources of Health Expenditure Funding</w:t>
      </w:r>
    </w:p>
    <w:p w:rsidR="00016F8F" w:rsidRPr="00016F8F" w:rsidRDefault="00016F8F" w:rsidP="00016F8F">
      <w:pPr>
        <w:bidi w:val="0"/>
        <w:jc w:val="both"/>
        <w:rPr>
          <w:color w:val="000000"/>
        </w:rPr>
      </w:pPr>
      <w:r>
        <w:rPr>
          <w:color w:val="000000"/>
        </w:rPr>
        <w:t xml:space="preserve">During 2014, the government sector (via the Ministry of Finance, Health, etc.) contributed 36.9% of health funding whereas households contributed 40.8% and </w:t>
      </w:r>
      <w:r>
        <w:t>non-profit institutions serving households (</w:t>
      </w:r>
      <w:r w:rsidRPr="00082DF6">
        <w:rPr>
          <w:color w:val="000000"/>
        </w:rPr>
        <w:t>NPISH</w:t>
      </w:r>
      <w:r>
        <w:rPr>
          <w:color w:val="000000"/>
        </w:rPr>
        <w:t>) contributed 18.3%. The contribution of insurance companies reached 3.1% in 2014 while direct international contributions</w:t>
      </w:r>
      <w:r w:rsidR="00997FE6">
        <w:rPr>
          <w:color w:val="000000"/>
        </w:rPr>
        <w:t>(rest of the world)</w:t>
      </w:r>
      <w:r>
        <w:rPr>
          <w:color w:val="000000"/>
        </w:rPr>
        <w:t xml:space="preserve"> to health services provided in Palestine decreased from 1.0% in 2013 to 0.9% in 2014.</w:t>
      </w:r>
    </w:p>
    <w:p w:rsidR="00016F8F" w:rsidRDefault="00016F8F" w:rsidP="00016F8F">
      <w:pPr>
        <w:bidi w:val="0"/>
        <w:jc w:val="both"/>
        <w:rPr>
          <w:color w:val="000000"/>
        </w:rPr>
      </w:pPr>
      <w:r>
        <w:rPr>
          <w:color w:val="000000"/>
        </w:rPr>
        <w:t xml:space="preserve">The following figure shows the distribution of current expenditure on health by source of funding in Palestine for 2013 and 2014:  </w:t>
      </w:r>
    </w:p>
    <w:p w:rsidR="009839BC" w:rsidRDefault="009839BC" w:rsidP="009839BC">
      <w:pPr>
        <w:pStyle w:val="Title"/>
        <w:spacing w:after="0"/>
        <w:jc w:val="both"/>
        <w:rPr>
          <w:rFonts w:ascii="Times New Roman"/>
          <w:b w:val="0"/>
          <w:bCs w:val="0"/>
          <w:color w:val="000000"/>
          <w:sz w:val="24"/>
          <w:szCs w:val="24"/>
          <w:lang w:val="en-US" w:bidi="ar-SA"/>
        </w:rPr>
      </w:pPr>
    </w:p>
    <w:p w:rsidR="009839BC" w:rsidRDefault="009839BC" w:rsidP="006249A1">
      <w:pPr>
        <w:pStyle w:val="Title"/>
        <w:rPr>
          <w:rFonts w:hAnsi="Arial" w:cs="Arial"/>
          <w:color w:val="000000"/>
          <w:sz w:val="22"/>
          <w:szCs w:val="22"/>
          <w:lang w:val="en-US" w:bidi="ar-SA"/>
        </w:rPr>
      </w:pPr>
      <w:r>
        <w:rPr>
          <w:rFonts w:hAnsi="Arial" w:cs="Arial"/>
          <w:color w:val="000000"/>
          <w:sz w:val="22"/>
          <w:szCs w:val="22"/>
          <w:lang w:val="en-US" w:bidi="ar-SA"/>
        </w:rPr>
        <w:t xml:space="preserve"> Percentage Distribution </w:t>
      </w:r>
      <w:r>
        <w:rPr>
          <w:rFonts w:hAnsi="Arial" w:cs="Arial"/>
          <w:color w:val="000000"/>
          <w:sz w:val="22"/>
          <w:szCs w:val="22"/>
        </w:rPr>
        <w:t>of</w:t>
      </w:r>
      <w:r>
        <w:rPr>
          <w:rFonts w:hAnsi="Arial" w:cs="Arial"/>
          <w:color w:val="000000"/>
          <w:sz w:val="22"/>
          <w:szCs w:val="22"/>
          <w:lang w:val="en-US" w:bidi="ar-SA"/>
        </w:rPr>
        <w:t xml:space="preserve"> </w:t>
      </w:r>
      <w:r>
        <w:rPr>
          <w:rFonts w:hAnsi="Arial" w:cs="Arial"/>
          <w:color w:val="000000"/>
          <w:sz w:val="22"/>
          <w:szCs w:val="22"/>
        </w:rPr>
        <w:t>Total Expenditure on Health in Palestine by Source of Funding, 201</w:t>
      </w:r>
      <w:r w:rsidR="006249A1">
        <w:rPr>
          <w:rFonts w:hAnsi="Arial" w:cs="Arial"/>
          <w:color w:val="000000"/>
          <w:sz w:val="22"/>
          <w:szCs w:val="22"/>
        </w:rPr>
        <w:t>3</w:t>
      </w:r>
      <w:r>
        <w:rPr>
          <w:rFonts w:hAnsi="Arial" w:cs="Arial"/>
          <w:color w:val="000000"/>
          <w:sz w:val="22"/>
          <w:szCs w:val="22"/>
        </w:rPr>
        <w:t xml:space="preserve"> and </w:t>
      </w:r>
      <w:r w:rsidR="006249A1">
        <w:rPr>
          <w:rFonts w:hAnsi="Arial" w:cs="Arial"/>
          <w:color w:val="000000"/>
          <w:sz w:val="22"/>
          <w:szCs w:val="22"/>
        </w:rPr>
        <w:t>2014</w:t>
      </w:r>
      <w:r>
        <w:rPr>
          <w:rFonts w:hAnsi="Arial" w:cs="Arial"/>
          <w:color w:val="000000"/>
          <w:sz w:val="22"/>
          <w:szCs w:val="22"/>
          <w:lang w:val="en-US" w:bidi="ar-SA"/>
        </w:rPr>
        <w:t xml:space="preserve"> </w:t>
      </w:r>
    </w:p>
    <w:tbl>
      <w:tblPr>
        <w:tblStyle w:val="TableGrid"/>
        <w:bidiVisual/>
        <w:tblW w:w="0" w:type="auto"/>
        <w:jc w:val="center"/>
        <w:tblLook w:val="04A0"/>
      </w:tblPr>
      <w:tblGrid>
        <w:gridCol w:w="9276"/>
      </w:tblGrid>
      <w:tr w:rsidR="009839BC" w:rsidTr="000F14AE">
        <w:trPr>
          <w:jc w:val="center"/>
        </w:trPr>
        <w:tc>
          <w:tcPr>
            <w:tcW w:w="9126" w:type="dxa"/>
          </w:tcPr>
          <w:p w:rsidR="009839BC" w:rsidRDefault="00457892" w:rsidP="000F14AE">
            <w:pPr>
              <w:jc w:val="right"/>
              <w:rPr>
                <w:b/>
                <w:bCs/>
                <w:color w:val="000000"/>
              </w:rPr>
            </w:pPr>
            <w:r w:rsidRPr="00457892">
              <w:rPr>
                <w:b/>
                <w:bCs/>
                <w:noProof/>
                <w:color w:val="000000"/>
                <w:rtl/>
                <w:lang w:eastAsia="en-US"/>
              </w:rPr>
              <w:drawing>
                <wp:inline distT="0" distB="0" distL="0" distR="0">
                  <wp:extent cx="5753100" cy="2162175"/>
                  <wp:effectExtent l="0" t="0" r="0" b="0"/>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839BC" w:rsidRDefault="00774305" w:rsidP="00774305">
      <w:pPr>
        <w:bidi w:val="0"/>
        <w:rPr>
          <w:b/>
          <w:bCs/>
          <w:color w:val="000000"/>
          <w:rtl/>
        </w:rPr>
      </w:pPr>
      <w:r>
        <w:rPr>
          <w:b/>
          <w:bCs/>
          <w:color w:val="000000"/>
        </w:rPr>
        <w:lastRenderedPageBreak/>
        <w:t>3</w:t>
      </w:r>
      <w:r w:rsidR="009839BC">
        <w:rPr>
          <w:b/>
          <w:bCs/>
          <w:color w:val="000000"/>
        </w:rPr>
        <w:t>. Health Expenditure According to Function of Care</w:t>
      </w:r>
    </w:p>
    <w:p w:rsidR="00016F8F" w:rsidRDefault="00016F8F" w:rsidP="00016F8F">
      <w:pPr>
        <w:bidi w:val="0"/>
        <w:jc w:val="both"/>
      </w:pPr>
      <w:r>
        <w:rPr>
          <w:color w:val="000000"/>
        </w:rPr>
        <w:t>Total expenditure on health services by function of care showed that</w:t>
      </w:r>
      <w:r>
        <w:t xml:space="preserve"> health expenditure on inpatient care decreased to 25.0% in 2014 from its 2013 figure of 25.7%. The distribution of health expenditure by economic sector showed that 92.4% of services were provided within the government sector compared to 3.1% provided by non-profit institutions serving households (NPISH) sector.  In addition, 3.8% by insurance enterprises and</w:t>
      </w:r>
      <w:r w:rsidRPr="00B42318">
        <w:t xml:space="preserve"> </w:t>
      </w:r>
      <w:r>
        <w:t>0.1% of services were provided as out-of-pocket household expenditure for overnight services in the private sector (private sector hospitals), in addition to 0.6% directly from the rest of the world.</w:t>
      </w:r>
    </w:p>
    <w:p w:rsidR="009839BC" w:rsidRDefault="009839BC" w:rsidP="009839BC">
      <w:pPr>
        <w:bidi w:val="0"/>
        <w:jc w:val="center"/>
        <w:rPr>
          <w:b/>
          <w:bCs/>
          <w:color w:val="000000"/>
        </w:rPr>
      </w:pPr>
    </w:p>
    <w:p w:rsidR="009839BC" w:rsidRPr="00F93F69" w:rsidRDefault="009839BC" w:rsidP="00140C95">
      <w:pPr>
        <w:bidi w:val="0"/>
        <w:jc w:val="center"/>
        <w:rPr>
          <w:rFonts w:ascii="Arial" w:hAnsi="Arial" w:cs="Arial"/>
          <w:b/>
          <w:bCs/>
          <w:color w:val="000000"/>
          <w:sz w:val="22"/>
          <w:szCs w:val="22"/>
        </w:rPr>
      </w:pPr>
      <w:r w:rsidRPr="00F93F69">
        <w:rPr>
          <w:rFonts w:ascii="Arial" w:hAnsi="Arial" w:cs="Arial"/>
          <w:b/>
          <w:bCs/>
          <w:color w:val="000000"/>
          <w:sz w:val="22"/>
          <w:szCs w:val="22"/>
        </w:rPr>
        <w:t xml:space="preserve">Percentage Distribution of Total Expenditure on Health by Function of Care in Palestine </w:t>
      </w:r>
      <w:r w:rsidR="00140C95">
        <w:rPr>
          <w:rFonts w:ascii="Arial" w:hAnsi="Arial" w:cs="Arial"/>
          <w:b/>
          <w:bCs/>
          <w:color w:val="000000"/>
          <w:sz w:val="22"/>
          <w:szCs w:val="22"/>
        </w:rPr>
        <w:t>2014</w:t>
      </w:r>
    </w:p>
    <w:tbl>
      <w:tblPr>
        <w:tblStyle w:val="TableGrid"/>
        <w:tblW w:w="9072" w:type="dxa"/>
        <w:jc w:val="center"/>
        <w:tblLook w:val="04A0"/>
      </w:tblPr>
      <w:tblGrid>
        <w:gridCol w:w="9171"/>
      </w:tblGrid>
      <w:tr w:rsidR="009839BC" w:rsidTr="000745F8">
        <w:trPr>
          <w:jc w:val="center"/>
        </w:trPr>
        <w:tc>
          <w:tcPr>
            <w:tcW w:w="9287" w:type="dxa"/>
          </w:tcPr>
          <w:p w:rsidR="009839BC" w:rsidRDefault="001E092A" w:rsidP="000F14AE">
            <w:pPr>
              <w:bidi w:val="0"/>
              <w:rPr>
                <w:b/>
                <w:bCs/>
                <w:color w:val="000000"/>
                <w:sz w:val="28"/>
                <w:szCs w:val="28"/>
                <w:lang w:eastAsia="ar-JO" w:bidi="ar-JO"/>
              </w:rPr>
            </w:pPr>
            <w:r w:rsidRPr="001E092A">
              <w:rPr>
                <w:b/>
                <w:bCs/>
                <w:noProof/>
                <w:color w:val="000000"/>
                <w:sz w:val="28"/>
                <w:szCs w:val="28"/>
                <w:lang w:eastAsia="en-US"/>
              </w:rPr>
              <w:drawing>
                <wp:inline distT="0" distB="0" distL="0" distR="0">
                  <wp:extent cx="5686425" cy="26289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839BC" w:rsidRPr="006B62D7" w:rsidRDefault="009839BC" w:rsidP="009839BC">
      <w:pPr>
        <w:bidi w:val="0"/>
        <w:rPr>
          <w:b/>
          <w:bCs/>
          <w:color w:val="000000"/>
          <w:sz w:val="20"/>
          <w:szCs w:val="20"/>
          <w:lang w:eastAsia="ar-JO" w:bidi="ar-JO"/>
        </w:rPr>
      </w:pPr>
    </w:p>
    <w:p w:rsidR="009839BC" w:rsidRPr="00031C79" w:rsidRDefault="00774305" w:rsidP="00774305">
      <w:pPr>
        <w:bidi w:val="0"/>
        <w:rPr>
          <w:b/>
          <w:bCs/>
          <w:color w:val="000000"/>
        </w:rPr>
      </w:pPr>
      <w:r>
        <w:rPr>
          <w:b/>
          <w:bCs/>
          <w:color w:val="000000"/>
        </w:rPr>
        <w:t>4</w:t>
      </w:r>
      <w:r w:rsidR="009839BC">
        <w:rPr>
          <w:b/>
          <w:bCs/>
          <w:color w:val="000000"/>
        </w:rPr>
        <w:t>. Health Expenditure by Health Care Provider</w:t>
      </w:r>
      <w:r w:rsidR="00F03E89">
        <w:rPr>
          <w:rStyle w:val="FootnoteReference"/>
          <w:b/>
          <w:bCs/>
          <w:color w:val="000000"/>
        </w:rPr>
        <w:footnoteReference w:id="1"/>
      </w:r>
      <w:r w:rsidR="009839BC">
        <w:rPr>
          <w:b/>
          <w:bCs/>
          <w:color w:val="000000"/>
        </w:rPr>
        <w:t xml:space="preserve"> </w:t>
      </w:r>
    </w:p>
    <w:p w:rsidR="00CC2D56" w:rsidRPr="009452F3" w:rsidRDefault="00CC2D56" w:rsidP="00CC2D56">
      <w:pPr>
        <w:pStyle w:val="Title"/>
        <w:spacing w:after="0"/>
        <w:jc w:val="both"/>
        <w:rPr>
          <w:rFonts w:ascii="Times New Roman"/>
          <w:b w:val="0"/>
          <w:bCs w:val="0"/>
          <w:color w:val="000000"/>
          <w:sz w:val="24"/>
          <w:szCs w:val="24"/>
        </w:rPr>
      </w:pPr>
      <w:bookmarkStart w:id="0" w:name="OLE_LINK1"/>
      <w:r w:rsidRPr="009452F3">
        <w:rPr>
          <w:rFonts w:ascii="Times New Roman"/>
          <w:b w:val="0"/>
          <w:bCs w:val="0"/>
          <w:color w:val="000000"/>
          <w:sz w:val="24"/>
          <w:szCs w:val="24"/>
        </w:rPr>
        <w:t>Hospitals were classified according to type</w:t>
      </w:r>
      <w:r>
        <w:rPr>
          <w:rFonts w:ascii="Times New Roman"/>
          <w:b w:val="0"/>
          <w:bCs w:val="0"/>
          <w:color w:val="000000"/>
          <w:sz w:val="24"/>
          <w:szCs w:val="24"/>
        </w:rPr>
        <w:t>:</w:t>
      </w:r>
      <w:r w:rsidRPr="009452F3">
        <w:rPr>
          <w:rFonts w:ascii="Times New Roman"/>
          <w:b w:val="0"/>
          <w:bCs w:val="0"/>
          <w:color w:val="000000"/>
          <w:sz w:val="24"/>
          <w:szCs w:val="24"/>
        </w:rPr>
        <w:t xml:space="preserve"> general hospital</w:t>
      </w:r>
      <w:r>
        <w:rPr>
          <w:rFonts w:ascii="Times New Roman"/>
          <w:b w:val="0"/>
          <w:bCs w:val="0"/>
          <w:color w:val="000000"/>
          <w:sz w:val="24"/>
          <w:szCs w:val="24"/>
        </w:rPr>
        <w:t>s</w:t>
      </w:r>
      <w:r w:rsidRPr="009452F3">
        <w:rPr>
          <w:rFonts w:ascii="Times New Roman"/>
          <w:b w:val="0"/>
          <w:bCs w:val="0"/>
          <w:color w:val="000000"/>
          <w:sz w:val="24"/>
          <w:szCs w:val="24"/>
        </w:rPr>
        <w:t xml:space="preserve">, mental health and substance abuse hospitals and specialized hospitals. General government hospitals spent an equivalent of </w:t>
      </w:r>
      <w:r>
        <w:rPr>
          <w:rFonts w:ascii="Times New Roman"/>
          <w:b w:val="0"/>
          <w:bCs w:val="0"/>
          <w:color w:val="000000"/>
          <w:sz w:val="24"/>
          <w:szCs w:val="24"/>
        </w:rPr>
        <w:t>56.4</w:t>
      </w:r>
      <w:r w:rsidRPr="009452F3">
        <w:rPr>
          <w:rFonts w:ascii="Times New Roman"/>
          <w:b w:val="0"/>
          <w:bCs w:val="0"/>
          <w:color w:val="000000"/>
          <w:sz w:val="24"/>
          <w:szCs w:val="24"/>
        </w:rPr>
        <w:t xml:space="preserve">% of total expenditure by </w:t>
      </w:r>
      <w:r>
        <w:rPr>
          <w:rFonts w:ascii="Times New Roman"/>
          <w:b w:val="0"/>
          <w:bCs w:val="0"/>
          <w:color w:val="000000"/>
          <w:sz w:val="24"/>
          <w:szCs w:val="24"/>
        </w:rPr>
        <w:t>health service providers in 2014</w:t>
      </w:r>
      <w:r w:rsidRPr="009452F3">
        <w:rPr>
          <w:rFonts w:ascii="Times New Roman"/>
          <w:b w:val="0"/>
          <w:bCs w:val="0"/>
          <w:color w:val="000000"/>
          <w:sz w:val="24"/>
          <w:szCs w:val="24"/>
        </w:rPr>
        <w:t>.  The contribution o</w:t>
      </w:r>
      <w:r>
        <w:rPr>
          <w:rFonts w:ascii="Times New Roman"/>
          <w:b w:val="0"/>
          <w:bCs w:val="0"/>
          <w:color w:val="000000"/>
          <w:sz w:val="24"/>
          <w:szCs w:val="24"/>
        </w:rPr>
        <w:t>f NPISH general hospitals was 4.0</w:t>
      </w:r>
      <w:r w:rsidRPr="009452F3">
        <w:rPr>
          <w:rFonts w:ascii="Times New Roman"/>
          <w:b w:val="0"/>
          <w:bCs w:val="0"/>
          <w:color w:val="000000"/>
          <w:sz w:val="24"/>
          <w:szCs w:val="24"/>
        </w:rPr>
        <w:t xml:space="preserve">% compared to </w:t>
      </w:r>
      <w:r>
        <w:rPr>
          <w:rFonts w:ascii="Times New Roman" w:hint="cs"/>
          <w:b w:val="0"/>
          <w:bCs w:val="0"/>
          <w:color w:val="000000"/>
          <w:sz w:val="24"/>
          <w:szCs w:val="24"/>
          <w:rtl/>
        </w:rPr>
        <w:t>18.9</w:t>
      </w:r>
      <w:r w:rsidRPr="009452F3">
        <w:rPr>
          <w:rFonts w:ascii="Times New Roman"/>
          <w:b w:val="0"/>
          <w:bCs w:val="0"/>
          <w:color w:val="000000"/>
          <w:sz w:val="24"/>
          <w:szCs w:val="24"/>
        </w:rPr>
        <w:t xml:space="preserve">% </w:t>
      </w:r>
      <w:r w:rsidRPr="009452F3">
        <w:rPr>
          <w:rFonts w:ascii="Times New Roman"/>
          <w:b w:val="0"/>
          <w:bCs w:val="0"/>
          <w:color w:val="000000"/>
          <w:sz w:val="24"/>
          <w:szCs w:val="24"/>
          <w:lang w:val="en-US"/>
        </w:rPr>
        <w:t xml:space="preserve">by </w:t>
      </w:r>
      <w:r w:rsidRPr="009452F3">
        <w:rPr>
          <w:rFonts w:ascii="Times New Roman"/>
          <w:b w:val="0"/>
          <w:bCs w:val="0"/>
          <w:color w:val="000000"/>
          <w:sz w:val="24"/>
          <w:szCs w:val="24"/>
        </w:rPr>
        <w:t>general</w:t>
      </w:r>
      <w:r w:rsidRPr="009452F3">
        <w:rPr>
          <w:rFonts w:ascii="Times New Roman"/>
          <w:b w:val="0"/>
          <w:bCs w:val="0"/>
          <w:color w:val="000000"/>
          <w:sz w:val="24"/>
          <w:szCs w:val="24"/>
          <w:lang w:val="en-US"/>
        </w:rPr>
        <w:t xml:space="preserve"> private</w:t>
      </w:r>
      <w:r>
        <w:rPr>
          <w:rFonts w:ascii="Times New Roman"/>
          <w:b w:val="0"/>
          <w:bCs w:val="0"/>
          <w:color w:val="000000"/>
          <w:sz w:val="24"/>
          <w:szCs w:val="24"/>
        </w:rPr>
        <w:t xml:space="preserve"> hospitals and 20.7</w:t>
      </w:r>
      <w:r w:rsidRPr="009452F3">
        <w:rPr>
          <w:rFonts w:ascii="Times New Roman"/>
          <w:b w:val="0"/>
          <w:bCs w:val="0"/>
          <w:color w:val="000000"/>
          <w:sz w:val="24"/>
          <w:szCs w:val="24"/>
        </w:rPr>
        <w:t xml:space="preserve">% by </w:t>
      </w:r>
      <w:r>
        <w:rPr>
          <w:rFonts w:ascii="Times New Roman"/>
          <w:b w:val="0"/>
          <w:bCs w:val="0"/>
          <w:color w:val="000000"/>
          <w:sz w:val="24"/>
          <w:szCs w:val="24"/>
        </w:rPr>
        <w:t>non-classified</w:t>
      </w:r>
      <w:r w:rsidRPr="009452F3">
        <w:rPr>
          <w:rFonts w:ascii="Times New Roman"/>
          <w:b w:val="0"/>
          <w:bCs w:val="0"/>
          <w:color w:val="000000"/>
          <w:sz w:val="24"/>
          <w:szCs w:val="24"/>
        </w:rPr>
        <w:t xml:space="preserve"> general hospitals.</w:t>
      </w:r>
    </w:p>
    <w:p w:rsidR="00CC2D56" w:rsidRPr="006B62D7" w:rsidRDefault="00CC2D56" w:rsidP="00CC2D56">
      <w:pPr>
        <w:bidi w:val="0"/>
        <w:jc w:val="both"/>
        <w:rPr>
          <w:color w:val="000000"/>
          <w:sz w:val="16"/>
          <w:szCs w:val="16"/>
        </w:rPr>
      </w:pPr>
    </w:p>
    <w:p w:rsidR="00CC2D56" w:rsidRPr="00140C95" w:rsidRDefault="00CC2D56" w:rsidP="00CC2D56">
      <w:pPr>
        <w:bidi w:val="0"/>
        <w:jc w:val="both"/>
        <w:rPr>
          <w:color w:val="000000"/>
        </w:rPr>
      </w:pPr>
      <w:r w:rsidRPr="009452F3">
        <w:rPr>
          <w:color w:val="000000"/>
        </w:rPr>
        <w:t xml:space="preserve">Total expenditure by providers on nursing and residential care facilities in all sectors in Palestine was equivalent to USD </w:t>
      </w:r>
      <w:r>
        <w:rPr>
          <w:color w:val="000000"/>
        </w:rPr>
        <w:t>52.7 million in 2014</w:t>
      </w:r>
      <w:r w:rsidRPr="009452F3">
        <w:rPr>
          <w:color w:val="000000"/>
        </w:rPr>
        <w:t>.</w:t>
      </w:r>
      <w:r>
        <w:rPr>
          <w:color w:val="000000"/>
        </w:rPr>
        <w:t xml:space="preserve">  </w:t>
      </w:r>
      <w:r w:rsidRPr="009452F3">
        <w:rPr>
          <w:color w:val="000000"/>
        </w:rPr>
        <w:t xml:space="preserve">Providers of ambulatory care recorded </w:t>
      </w:r>
      <w:r>
        <w:rPr>
          <w:color w:val="000000"/>
        </w:rPr>
        <w:t>a rise</w:t>
      </w:r>
      <w:r w:rsidRPr="009452F3">
        <w:rPr>
          <w:color w:val="000000"/>
        </w:rPr>
        <w:t xml:space="preserve"> in primary health care services </w:t>
      </w:r>
      <w:r>
        <w:rPr>
          <w:color w:val="000000"/>
        </w:rPr>
        <w:t>between</w:t>
      </w:r>
      <w:r w:rsidRPr="009452F3">
        <w:rPr>
          <w:color w:val="000000"/>
        </w:rPr>
        <w:t xml:space="preserve"> </w:t>
      </w:r>
      <w:r>
        <w:rPr>
          <w:color w:val="000000"/>
        </w:rPr>
        <w:t>2013</w:t>
      </w:r>
      <w:r w:rsidRPr="009452F3">
        <w:rPr>
          <w:color w:val="000000"/>
        </w:rPr>
        <w:t xml:space="preserve"> and </w:t>
      </w:r>
      <w:r>
        <w:rPr>
          <w:color w:val="000000"/>
        </w:rPr>
        <w:t>2014</w:t>
      </w:r>
      <w:r w:rsidRPr="009452F3">
        <w:rPr>
          <w:color w:val="000000"/>
        </w:rPr>
        <w:t>, including outpatient activities and independent outpatient clinics of hospitals. The value of health expenditure for this category was</w:t>
      </w:r>
      <w:r>
        <w:rPr>
          <w:color w:val="000000"/>
        </w:rPr>
        <w:t xml:space="preserve"> about</w:t>
      </w:r>
      <w:r w:rsidRPr="009452F3">
        <w:rPr>
          <w:color w:val="000000"/>
        </w:rPr>
        <w:t xml:space="preserve"> USD </w:t>
      </w:r>
      <w:r>
        <w:rPr>
          <w:color w:val="000000"/>
        </w:rPr>
        <w:t>373</w:t>
      </w:r>
      <w:r w:rsidRPr="009452F3">
        <w:rPr>
          <w:color w:val="000000"/>
        </w:rPr>
        <w:t xml:space="preserve"> million in </w:t>
      </w:r>
      <w:r>
        <w:rPr>
          <w:color w:val="000000"/>
        </w:rPr>
        <w:t>2014 against about USD 318 million in 2013</w:t>
      </w:r>
      <w:r w:rsidRPr="009452F3">
        <w:rPr>
          <w:color w:val="000000"/>
        </w:rPr>
        <w:t>.</w:t>
      </w:r>
    </w:p>
    <w:p w:rsidR="00CC2D56" w:rsidRPr="00510614" w:rsidRDefault="00CC2D56" w:rsidP="00CC2D56">
      <w:pPr>
        <w:pStyle w:val="Title"/>
        <w:spacing w:after="0"/>
        <w:jc w:val="both"/>
        <w:rPr>
          <w:rFonts w:ascii="Times New Roman"/>
          <w:b w:val="0"/>
          <w:bCs w:val="0"/>
          <w:color w:val="000000"/>
          <w:sz w:val="18"/>
          <w:szCs w:val="18"/>
          <w:lang w:val="en-US" w:bidi="ar-SA"/>
        </w:rPr>
      </w:pPr>
    </w:p>
    <w:p w:rsidR="00CC2D56" w:rsidRPr="000418A8" w:rsidRDefault="00CC2D56" w:rsidP="00CC2D56">
      <w:pPr>
        <w:pStyle w:val="Title"/>
        <w:spacing w:after="0"/>
        <w:jc w:val="both"/>
        <w:rPr>
          <w:b w:val="0"/>
          <w:bCs w:val="0"/>
          <w:color w:val="000000"/>
          <w:sz w:val="24"/>
          <w:szCs w:val="24"/>
          <w:lang w:val="en-US" w:bidi="ar-SA"/>
        </w:rPr>
      </w:pPr>
      <w:r w:rsidRPr="009452F3">
        <w:rPr>
          <w:rFonts w:ascii="Times New Roman"/>
          <w:b w:val="0"/>
          <w:bCs w:val="0"/>
          <w:color w:val="000000"/>
          <w:sz w:val="24"/>
          <w:szCs w:val="24"/>
        </w:rPr>
        <w:t xml:space="preserve">Expenditure on </w:t>
      </w:r>
      <w:r>
        <w:rPr>
          <w:rFonts w:ascii="Times New Roman"/>
          <w:b w:val="0"/>
          <w:bCs w:val="0"/>
          <w:color w:val="000000"/>
          <w:sz w:val="24"/>
          <w:szCs w:val="24"/>
        </w:rPr>
        <w:t xml:space="preserve">general health administration and insurance decreased </w:t>
      </w:r>
      <w:r w:rsidRPr="009452F3">
        <w:rPr>
          <w:rFonts w:ascii="Times New Roman"/>
          <w:b w:val="0"/>
          <w:bCs w:val="0"/>
          <w:color w:val="000000"/>
          <w:sz w:val="24"/>
          <w:szCs w:val="24"/>
        </w:rPr>
        <w:t xml:space="preserve">by </w:t>
      </w:r>
      <w:r>
        <w:rPr>
          <w:rFonts w:ascii="Times New Roman" w:hint="cs"/>
          <w:b w:val="0"/>
          <w:bCs w:val="0"/>
          <w:color w:val="000000"/>
          <w:sz w:val="24"/>
          <w:szCs w:val="24"/>
          <w:rtl/>
          <w:lang w:bidi="ar-SA"/>
        </w:rPr>
        <w:t>20.9</w:t>
      </w:r>
      <w:r w:rsidRPr="009452F3">
        <w:rPr>
          <w:rFonts w:ascii="Times New Roman"/>
          <w:b w:val="0"/>
          <w:bCs w:val="0"/>
          <w:color w:val="000000"/>
          <w:sz w:val="24"/>
          <w:szCs w:val="24"/>
        </w:rPr>
        <w:t xml:space="preserve">% during </w:t>
      </w:r>
      <w:r>
        <w:rPr>
          <w:rFonts w:ascii="Times New Roman"/>
          <w:b w:val="0"/>
          <w:bCs w:val="0"/>
          <w:color w:val="000000"/>
          <w:sz w:val="24"/>
          <w:szCs w:val="24"/>
        </w:rPr>
        <w:t>2014</w:t>
      </w:r>
      <w:r w:rsidRPr="009452F3">
        <w:rPr>
          <w:rFonts w:ascii="Times New Roman"/>
          <w:b w:val="0"/>
          <w:bCs w:val="0"/>
          <w:color w:val="000000"/>
          <w:sz w:val="24"/>
          <w:szCs w:val="24"/>
        </w:rPr>
        <w:t xml:space="preserve"> compared </w:t>
      </w:r>
      <w:r>
        <w:rPr>
          <w:rFonts w:ascii="Times New Roman"/>
          <w:b w:val="0"/>
          <w:bCs w:val="0"/>
          <w:color w:val="000000"/>
          <w:sz w:val="24"/>
          <w:szCs w:val="24"/>
        </w:rPr>
        <w:t>to 2013</w:t>
      </w:r>
      <w:r w:rsidRPr="009452F3">
        <w:rPr>
          <w:rFonts w:ascii="Times New Roman"/>
          <w:b w:val="0"/>
          <w:bCs w:val="0"/>
          <w:color w:val="000000"/>
          <w:sz w:val="24"/>
          <w:szCs w:val="24"/>
        </w:rPr>
        <w:t>.</w:t>
      </w:r>
    </w:p>
    <w:p w:rsidR="00CC2D56" w:rsidRPr="006B62D7" w:rsidRDefault="00CC2D56" w:rsidP="00CC2D56">
      <w:pPr>
        <w:rPr>
          <w:rFonts w:hint="cs"/>
          <w:sz w:val="16"/>
          <w:szCs w:val="16"/>
          <w:rtl/>
          <w:lang w:val="en-GB" w:eastAsia="en-US"/>
        </w:rPr>
      </w:pPr>
    </w:p>
    <w:p w:rsidR="00CC2D56" w:rsidRPr="009452F3" w:rsidRDefault="00CC2D56" w:rsidP="00CC2D56">
      <w:pPr>
        <w:pStyle w:val="Title"/>
        <w:spacing w:after="0"/>
        <w:jc w:val="both"/>
        <w:rPr>
          <w:rFonts w:ascii="Times New Roman"/>
          <w:b w:val="0"/>
          <w:bCs w:val="0"/>
          <w:color w:val="000000"/>
          <w:sz w:val="24"/>
          <w:szCs w:val="24"/>
        </w:rPr>
      </w:pPr>
      <w:r w:rsidRPr="009452F3">
        <w:rPr>
          <w:rFonts w:ascii="Times New Roman"/>
          <w:b w:val="0"/>
          <w:bCs w:val="0"/>
          <w:color w:val="000000"/>
          <w:sz w:val="24"/>
          <w:szCs w:val="24"/>
        </w:rPr>
        <w:t xml:space="preserve">The results indicated that the value of medical treatment outside Palestine </w:t>
      </w:r>
      <w:r w:rsidR="006733D1">
        <w:rPr>
          <w:rFonts w:ascii="Times New Roman"/>
          <w:b w:val="0"/>
          <w:bCs w:val="0"/>
          <w:color w:val="000000"/>
          <w:sz w:val="24"/>
          <w:szCs w:val="24"/>
        </w:rPr>
        <w:t xml:space="preserve">dropped </w:t>
      </w:r>
      <w:r w:rsidRPr="009452F3">
        <w:rPr>
          <w:rFonts w:ascii="Times New Roman"/>
          <w:b w:val="0"/>
          <w:bCs w:val="0"/>
          <w:color w:val="000000"/>
          <w:sz w:val="24"/>
          <w:szCs w:val="24"/>
        </w:rPr>
        <w:t xml:space="preserve">to USD </w:t>
      </w:r>
      <w:r>
        <w:rPr>
          <w:rFonts w:ascii="Times New Roman"/>
          <w:b w:val="0"/>
          <w:bCs w:val="0"/>
          <w:color w:val="000000"/>
          <w:sz w:val="24"/>
          <w:szCs w:val="24"/>
        </w:rPr>
        <w:t>42.3 million in 2014 compared to USD 52.3 million in 2013</w:t>
      </w:r>
      <w:r w:rsidRPr="009452F3">
        <w:rPr>
          <w:rFonts w:ascii="Times New Roman"/>
          <w:b w:val="0"/>
          <w:bCs w:val="0"/>
          <w:color w:val="000000"/>
          <w:sz w:val="24"/>
          <w:szCs w:val="24"/>
        </w:rPr>
        <w:t xml:space="preserve">.  </w:t>
      </w:r>
    </w:p>
    <w:p w:rsidR="00CC2D56" w:rsidRPr="006B62D7" w:rsidRDefault="00CC2D56" w:rsidP="00CC2D56">
      <w:pPr>
        <w:bidi w:val="0"/>
        <w:ind w:right="340"/>
        <w:rPr>
          <w:color w:val="000000"/>
          <w:sz w:val="16"/>
          <w:szCs w:val="16"/>
          <w:lang w:val="en-GB"/>
        </w:rPr>
      </w:pPr>
    </w:p>
    <w:p w:rsidR="00CC2D56" w:rsidRPr="006B62D7" w:rsidRDefault="00CC2D56" w:rsidP="00CC2D56">
      <w:pPr>
        <w:bidi w:val="0"/>
        <w:ind w:right="340"/>
        <w:rPr>
          <w:color w:val="000000"/>
          <w:sz w:val="16"/>
          <w:szCs w:val="16"/>
        </w:rPr>
      </w:pPr>
    </w:p>
    <w:p w:rsidR="00CC2D56" w:rsidRDefault="00774305" w:rsidP="00774305">
      <w:pPr>
        <w:bidi w:val="0"/>
        <w:ind w:right="340"/>
        <w:rPr>
          <w:b/>
          <w:bCs/>
          <w:color w:val="000000"/>
        </w:rPr>
      </w:pPr>
      <w:r>
        <w:rPr>
          <w:b/>
          <w:bCs/>
          <w:color w:val="000000"/>
        </w:rPr>
        <w:t>5</w:t>
      </w:r>
      <w:r w:rsidR="00CC2D56">
        <w:rPr>
          <w:b/>
          <w:bCs/>
          <w:color w:val="000000"/>
        </w:rPr>
        <w:t>. Percentage of Health Expenditures to Gross Domestic Product (GDP)</w:t>
      </w:r>
    </w:p>
    <w:p w:rsidR="00CC2D56" w:rsidRDefault="00CC2D56" w:rsidP="00CC2D56">
      <w:pPr>
        <w:pStyle w:val="NormalWeb"/>
        <w:spacing w:before="0" w:beforeAutospacing="0" w:after="0" w:afterAutospacing="0"/>
        <w:jc w:val="both"/>
        <w:rPr>
          <w:rFonts w:ascii="simp" w:hAnsi="simp" w:cs="Simplified Arabic"/>
        </w:rPr>
      </w:pPr>
      <w:r>
        <w:rPr>
          <w:rFonts w:ascii="simp" w:hAnsi="simp" w:cs="Simplified Arabic"/>
        </w:rPr>
        <w:t>The percentage of health expenditure of the Gross Domestic Product (GDP)</w:t>
      </w:r>
      <w:r w:rsidRPr="0095310C">
        <w:rPr>
          <w:rFonts w:ascii="simp" w:hAnsi="simp" w:cs="Simplified Arabic"/>
        </w:rPr>
        <w:t xml:space="preserve"> </w:t>
      </w:r>
      <w:r>
        <w:rPr>
          <w:rFonts w:ascii="simp" w:hAnsi="simp" w:cs="Simplified Arabic"/>
        </w:rPr>
        <w:t>in Palestine, at current prices, increased slightly from 10.9% in 2013 to 11.0% in 2014.</w:t>
      </w:r>
      <w:r>
        <w:rPr>
          <w:rStyle w:val="FootnoteReference"/>
        </w:rPr>
        <w:footnoteReference w:id="2"/>
      </w:r>
    </w:p>
    <w:p w:rsidR="009839BC" w:rsidRPr="00AB0969" w:rsidRDefault="009839BC" w:rsidP="00273579">
      <w:pPr>
        <w:pStyle w:val="Subtitle"/>
        <w:rPr>
          <w:rFonts w:ascii="Arial" w:hAnsi="Arial" w:cs="Arial"/>
          <w:color w:val="000000"/>
          <w:sz w:val="22"/>
          <w:szCs w:val="22"/>
        </w:rPr>
      </w:pPr>
      <w:r w:rsidRPr="00AB0969">
        <w:rPr>
          <w:rFonts w:ascii="Arial" w:hAnsi="Arial" w:cs="Arial"/>
          <w:color w:val="000000"/>
          <w:sz w:val="22"/>
          <w:szCs w:val="22"/>
        </w:rPr>
        <w:lastRenderedPageBreak/>
        <w:t xml:space="preserve">Total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xpenditure,</w:t>
      </w:r>
      <w:r>
        <w:rPr>
          <w:rFonts w:ascii="Arial" w:hAnsi="Arial" w:cs="Arial"/>
          <w:color w:val="000000"/>
          <w:sz w:val="22"/>
          <w:szCs w:val="22"/>
        </w:rPr>
        <w:t xml:space="preserve"> </w:t>
      </w:r>
      <w:r w:rsidRPr="00AB0969">
        <w:rPr>
          <w:rFonts w:ascii="Arial" w:hAnsi="Arial" w:cs="Arial"/>
          <w:color w:val="000000"/>
          <w:sz w:val="22"/>
          <w:szCs w:val="22"/>
        </w:rPr>
        <w:t xml:space="preserve">GDP, </w:t>
      </w:r>
      <w:r>
        <w:rPr>
          <w:rFonts w:ascii="Arial" w:hAnsi="Arial" w:cs="Arial"/>
          <w:color w:val="000000"/>
          <w:sz w:val="22"/>
          <w:szCs w:val="22"/>
        </w:rPr>
        <w:t>and P</w:t>
      </w:r>
      <w:r w:rsidRPr="00AB0969">
        <w:rPr>
          <w:rFonts w:ascii="Arial" w:hAnsi="Arial" w:cs="Arial"/>
          <w:color w:val="000000"/>
          <w:sz w:val="22"/>
          <w:szCs w:val="22"/>
        </w:rPr>
        <w:t>ercentage</w:t>
      </w:r>
      <w:r>
        <w:rPr>
          <w:rFonts w:ascii="Arial" w:hAnsi="Arial" w:cs="Arial"/>
          <w:color w:val="000000"/>
          <w:sz w:val="22"/>
          <w:szCs w:val="22"/>
        </w:rPr>
        <w:t xml:space="preserve"> of</w:t>
      </w:r>
      <w:r w:rsidRPr="00AB0969">
        <w:rPr>
          <w:rFonts w:ascii="Arial" w:hAnsi="Arial" w:cs="Arial"/>
          <w:color w:val="000000"/>
          <w:sz w:val="22"/>
          <w:szCs w:val="22"/>
        </w:rPr>
        <w:t xml:space="preserve">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 xml:space="preserve">xpenditure to GDP at </w:t>
      </w:r>
      <w:r>
        <w:rPr>
          <w:rFonts w:ascii="Arial" w:hAnsi="Arial" w:cs="Arial"/>
          <w:color w:val="000000"/>
          <w:sz w:val="22"/>
          <w:szCs w:val="22"/>
        </w:rPr>
        <w:t>C</w:t>
      </w:r>
      <w:r w:rsidRPr="00AB0969">
        <w:rPr>
          <w:rFonts w:ascii="Arial" w:hAnsi="Arial" w:cs="Arial"/>
          <w:color w:val="000000"/>
          <w:sz w:val="22"/>
          <w:szCs w:val="22"/>
        </w:rPr>
        <w:t xml:space="preserve">urrent </w:t>
      </w:r>
      <w:r>
        <w:rPr>
          <w:rFonts w:ascii="Arial" w:hAnsi="Arial" w:cs="Arial"/>
          <w:color w:val="000000"/>
          <w:sz w:val="22"/>
          <w:szCs w:val="22"/>
        </w:rPr>
        <w:t>P</w:t>
      </w:r>
      <w:r w:rsidRPr="00AB0969">
        <w:rPr>
          <w:rFonts w:ascii="Arial" w:hAnsi="Arial" w:cs="Arial"/>
          <w:color w:val="000000"/>
          <w:sz w:val="22"/>
          <w:szCs w:val="22"/>
        </w:rPr>
        <w:t>rices in Palestin</w:t>
      </w:r>
      <w:r>
        <w:rPr>
          <w:rFonts w:ascii="Arial" w:hAnsi="Arial" w:cs="Arial"/>
          <w:color w:val="000000"/>
          <w:sz w:val="22"/>
          <w:szCs w:val="22"/>
        </w:rPr>
        <w:t>e,</w:t>
      </w:r>
      <w:r w:rsidRPr="00AB0969">
        <w:rPr>
          <w:rFonts w:ascii="Arial" w:hAnsi="Arial" w:cs="Arial"/>
          <w:b w:val="0"/>
          <w:bCs w:val="0"/>
          <w:noProof w:val="0"/>
          <w:color w:val="000000"/>
          <w:sz w:val="22"/>
          <w:szCs w:val="22"/>
        </w:rPr>
        <w:t xml:space="preserve"> </w:t>
      </w:r>
      <w:r w:rsidRPr="00AB0969">
        <w:rPr>
          <w:rFonts w:ascii="Arial" w:hAnsi="Arial" w:cs="Arial"/>
          <w:color w:val="000000"/>
          <w:sz w:val="22"/>
          <w:szCs w:val="22"/>
        </w:rPr>
        <w:t>2000-</w:t>
      </w:r>
      <w:r w:rsidR="00273579">
        <w:rPr>
          <w:rFonts w:ascii="Arial" w:hAnsi="Arial" w:cs="Arial"/>
          <w:color w:val="000000"/>
          <w:sz w:val="22"/>
          <w:szCs w:val="22"/>
        </w:rPr>
        <w:t>2014</w:t>
      </w:r>
    </w:p>
    <w:tbl>
      <w:tblPr>
        <w:tblStyle w:val="TableGrid"/>
        <w:tblW w:w="0" w:type="auto"/>
        <w:jc w:val="center"/>
        <w:tblLook w:val="04A0"/>
      </w:tblPr>
      <w:tblGrid>
        <w:gridCol w:w="9287"/>
      </w:tblGrid>
      <w:tr w:rsidR="009839BC" w:rsidTr="001B2215">
        <w:trPr>
          <w:trHeight w:val="5024"/>
          <w:jc w:val="center"/>
        </w:trPr>
        <w:tc>
          <w:tcPr>
            <w:tcW w:w="9287" w:type="dxa"/>
          </w:tcPr>
          <w:p w:rsidR="009839BC" w:rsidRDefault="0067678C" w:rsidP="000F14AE">
            <w:pPr>
              <w:pStyle w:val="Subtitle"/>
              <w:rPr>
                <w:rFonts w:ascii="Arial" w:hAnsi="Arial" w:cs="Arial"/>
                <w:color w:val="000000"/>
                <w:sz w:val="24"/>
                <w:szCs w:val="24"/>
              </w:rPr>
            </w:pPr>
            <w:r w:rsidRPr="0067678C">
              <w:rPr>
                <w:color w:val="000000"/>
                <w:lang w:eastAsia="zh-TW"/>
              </w:rPr>
              <w:pict>
                <v:shapetype id="_x0000_t202" coordsize="21600,21600" o:spt="202" path="m,l,21600r21600,l21600,xe">
                  <v:stroke joinstyle="miter"/>
                  <v:path gradientshapeok="t" o:connecttype="rect"/>
                </v:shapetype>
                <v:shape id="_x0000_s1027" type="#_x0000_t202" style="position:absolute;left:0;text-align:left;margin-left:213.55pt;margin-top:243.05pt;width:39.9pt;height:17.55pt;z-index:251660288;mso-height-percent:200;mso-height-percent:200;mso-width-relative:margin;mso-height-relative:margin" filled="f" stroked="f">
                  <v:textbox style="mso-fit-shape-to-text:t">
                    <w:txbxContent>
                      <w:p w:rsidR="001B2215" w:rsidRPr="001B2215" w:rsidRDefault="001B2215" w:rsidP="001B2215">
                        <w:pPr>
                          <w:bidi w:val="0"/>
                          <w:rPr>
                            <w:rFonts w:ascii="Arial" w:hAnsi="Arial" w:cs="Arial"/>
                            <w:b/>
                            <w:bCs/>
                            <w:sz w:val="18"/>
                            <w:szCs w:val="18"/>
                          </w:rPr>
                        </w:pPr>
                        <w:r w:rsidRPr="001B2215">
                          <w:rPr>
                            <w:rFonts w:ascii="Arial" w:hAnsi="Arial" w:cs="Arial"/>
                            <w:b/>
                            <w:bCs/>
                            <w:sz w:val="18"/>
                            <w:szCs w:val="18"/>
                          </w:rPr>
                          <w:t>Years</w:t>
                        </w:r>
                      </w:p>
                    </w:txbxContent>
                  </v:textbox>
                </v:shape>
              </w:pict>
            </w:r>
            <w:r w:rsidR="00BE3B9F" w:rsidRPr="00BE3B9F">
              <w:rPr>
                <w:rFonts w:ascii="Arial" w:hAnsi="Arial" w:cs="Arial"/>
                <w:color w:val="000000"/>
                <w:sz w:val="24"/>
                <w:szCs w:val="24"/>
              </w:rPr>
              <w:drawing>
                <wp:inline distT="0" distB="0" distL="0" distR="0">
                  <wp:extent cx="5743575" cy="3371850"/>
                  <wp:effectExtent l="0" t="0" r="0" b="0"/>
                  <wp:docPr id="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E395A" w:rsidRPr="000745F8" w:rsidRDefault="002E395A" w:rsidP="000F14AE">
            <w:pPr>
              <w:pStyle w:val="Subtitle"/>
              <w:rPr>
                <w:rFonts w:ascii="Arial" w:hAnsi="Arial" w:cs="Arial"/>
                <w:color w:val="000000"/>
                <w:sz w:val="2"/>
                <w:szCs w:val="2"/>
              </w:rPr>
            </w:pPr>
          </w:p>
        </w:tc>
      </w:tr>
    </w:tbl>
    <w:p w:rsidR="009839BC" w:rsidRPr="00510614" w:rsidRDefault="009839BC" w:rsidP="009839BC">
      <w:pPr>
        <w:pStyle w:val="Subtitle"/>
        <w:rPr>
          <w:rFonts w:ascii="Arial" w:hAnsi="Arial" w:cs="Arial"/>
          <w:b w:val="0"/>
          <w:bCs w:val="0"/>
          <w:color w:val="000000"/>
          <w:sz w:val="24"/>
          <w:szCs w:val="24"/>
        </w:rPr>
      </w:pPr>
    </w:p>
    <w:bookmarkEnd w:id="0"/>
    <w:p w:rsidR="000745F8" w:rsidRDefault="000745F8">
      <w:pPr>
        <w:bidi w:val="0"/>
        <w:spacing w:after="200" w:line="276" w:lineRule="auto"/>
        <w:rPr>
          <w:color w:val="000000"/>
        </w:rPr>
      </w:pPr>
      <w:r>
        <w:rPr>
          <w:color w:val="000000"/>
        </w:rPr>
        <w:br w:type="page"/>
      </w:r>
    </w:p>
    <w:p w:rsidR="000745F8" w:rsidRDefault="000745F8">
      <w:pPr>
        <w:bidi w:val="0"/>
        <w:spacing w:after="200" w:line="276" w:lineRule="auto"/>
        <w:rPr>
          <w:color w:val="000000"/>
        </w:rPr>
      </w:pPr>
      <w:r>
        <w:rPr>
          <w:color w:val="000000"/>
        </w:rPr>
        <w:lastRenderedPageBreak/>
        <w:br w:type="page"/>
      </w:r>
    </w:p>
    <w:p w:rsidR="0087738B" w:rsidRPr="00AB0969" w:rsidRDefault="0087738B" w:rsidP="0087738B">
      <w:pPr>
        <w:bidi w:val="0"/>
        <w:spacing w:line="276" w:lineRule="auto"/>
        <w:jc w:val="center"/>
        <w:rPr>
          <w:color w:val="000000"/>
        </w:rPr>
      </w:pPr>
      <w:r w:rsidRPr="00AB0969">
        <w:rPr>
          <w:color w:val="000000"/>
        </w:rPr>
        <w:lastRenderedPageBreak/>
        <w:t>Chapter Two</w:t>
      </w:r>
    </w:p>
    <w:p w:rsidR="0087738B" w:rsidRDefault="0087738B" w:rsidP="0087738B">
      <w:pPr>
        <w:pStyle w:val="Heading1"/>
        <w:tabs>
          <w:tab w:val="right" w:pos="3600"/>
        </w:tabs>
        <w:rPr>
          <w:color w:val="000000"/>
          <w:szCs w:val="28"/>
        </w:rPr>
      </w:pPr>
    </w:p>
    <w:p w:rsidR="0087738B" w:rsidRDefault="0087738B" w:rsidP="0087738B">
      <w:pPr>
        <w:pStyle w:val="Heading1"/>
        <w:tabs>
          <w:tab w:val="right" w:pos="3600"/>
        </w:tabs>
        <w:rPr>
          <w:color w:val="000000"/>
          <w:szCs w:val="28"/>
        </w:rPr>
      </w:pPr>
      <w:r>
        <w:rPr>
          <w:color w:val="000000"/>
          <w:szCs w:val="28"/>
        </w:rPr>
        <w:t>Methodology and Data Quality</w:t>
      </w:r>
    </w:p>
    <w:p w:rsidR="0087738B" w:rsidRDefault="0087738B" w:rsidP="0087738B">
      <w:pPr>
        <w:pStyle w:val="Heading1"/>
        <w:jc w:val="left"/>
        <w:rPr>
          <w:color w:val="000000"/>
          <w:sz w:val="24"/>
          <w:szCs w:val="24"/>
        </w:rPr>
      </w:pPr>
    </w:p>
    <w:p w:rsidR="0087738B" w:rsidRDefault="0087738B" w:rsidP="0087738B">
      <w:pPr>
        <w:pStyle w:val="BodyText2"/>
        <w:rPr>
          <w:lang w:eastAsia="en-US"/>
        </w:rPr>
      </w:pPr>
      <w:r>
        <w:rPr>
          <w:lang w:eastAsia="en-US"/>
        </w:rPr>
        <w:t>The methodology used to compile the Palestinian Health Accounts at current prices for 2014 was based on data tabulation, in addition to processing data from all available sources to measure expenditure by health service provider and funding parties.</w:t>
      </w:r>
    </w:p>
    <w:p w:rsidR="0087738B" w:rsidRDefault="0087738B" w:rsidP="0087738B">
      <w:pPr>
        <w:pStyle w:val="Heading1"/>
        <w:jc w:val="left"/>
        <w:rPr>
          <w:color w:val="000000"/>
          <w:sz w:val="24"/>
          <w:szCs w:val="24"/>
          <w:lang w:eastAsia="en-GB"/>
        </w:rPr>
      </w:pPr>
    </w:p>
    <w:p w:rsidR="0087738B" w:rsidRDefault="0087738B" w:rsidP="0087738B">
      <w:pPr>
        <w:pStyle w:val="Heading1"/>
        <w:jc w:val="left"/>
        <w:rPr>
          <w:color w:val="000000"/>
          <w:sz w:val="24"/>
          <w:szCs w:val="24"/>
          <w:lang w:eastAsia="en-GB"/>
        </w:rPr>
      </w:pPr>
      <w:r>
        <w:rPr>
          <w:color w:val="000000"/>
          <w:sz w:val="24"/>
          <w:szCs w:val="24"/>
          <w:lang w:eastAsia="en-GB"/>
        </w:rPr>
        <w:t>2.1 General Overview</w:t>
      </w:r>
    </w:p>
    <w:p w:rsidR="0087738B" w:rsidRDefault="0087738B" w:rsidP="0087738B">
      <w:pPr>
        <w:rPr>
          <w:sz w:val="16"/>
          <w:szCs w:val="16"/>
          <w:rtl/>
          <w:lang w:val="en-GB"/>
        </w:rPr>
      </w:pPr>
    </w:p>
    <w:p w:rsidR="0087738B" w:rsidRPr="00510BC2" w:rsidRDefault="0087738B" w:rsidP="0087738B">
      <w:pPr>
        <w:pStyle w:val="Heading2"/>
        <w:ind w:right="360"/>
        <w:jc w:val="left"/>
        <w:rPr>
          <w:color w:val="000000" w:themeColor="text1"/>
          <w:sz w:val="24"/>
          <w:szCs w:val="24"/>
          <w:lang w:eastAsia="en-GB"/>
        </w:rPr>
      </w:pPr>
      <w:r>
        <w:rPr>
          <w:color w:val="000000" w:themeColor="text1"/>
          <w:sz w:val="24"/>
          <w:szCs w:val="24"/>
          <w:lang w:eastAsia="en-GB"/>
        </w:rPr>
        <w:t>2.1.</w:t>
      </w:r>
      <w:r w:rsidRPr="00510BC2">
        <w:rPr>
          <w:color w:val="000000" w:themeColor="text1"/>
          <w:sz w:val="24"/>
          <w:szCs w:val="24"/>
          <w:lang w:eastAsia="en-GB"/>
        </w:rPr>
        <w:t xml:space="preserve">1 </w:t>
      </w:r>
      <w:r>
        <w:rPr>
          <w:color w:val="000000" w:themeColor="text1"/>
          <w:sz w:val="24"/>
          <w:szCs w:val="24"/>
          <w:lang w:eastAsia="en-GB"/>
        </w:rPr>
        <w:t>Framework</w:t>
      </w:r>
      <w:r w:rsidRPr="00510BC2">
        <w:rPr>
          <w:color w:val="000000" w:themeColor="text1"/>
          <w:sz w:val="24"/>
          <w:szCs w:val="24"/>
          <w:lang w:eastAsia="en-GB"/>
        </w:rPr>
        <w:t xml:space="preserve"> of </w:t>
      </w:r>
      <w:r>
        <w:rPr>
          <w:color w:val="000000" w:themeColor="text1"/>
          <w:sz w:val="24"/>
          <w:szCs w:val="24"/>
          <w:lang w:eastAsia="en-GB"/>
        </w:rPr>
        <w:t>Palestinian</w:t>
      </w:r>
      <w:r w:rsidRPr="00510BC2">
        <w:rPr>
          <w:color w:val="000000" w:themeColor="text1"/>
          <w:sz w:val="24"/>
          <w:szCs w:val="24"/>
          <w:lang w:eastAsia="en-GB"/>
        </w:rPr>
        <w:t xml:space="preserve"> Health Accounts </w:t>
      </w:r>
    </w:p>
    <w:p w:rsidR="0087738B" w:rsidRPr="00510BC2" w:rsidRDefault="0087738B" w:rsidP="0087738B">
      <w:pPr>
        <w:numPr>
          <w:ilvl w:val="0"/>
          <w:numId w:val="41"/>
        </w:numPr>
        <w:bidi w:val="0"/>
        <w:jc w:val="lowKashida"/>
        <w:rPr>
          <w:color w:val="000000" w:themeColor="text1"/>
        </w:rPr>
      </w:pPr>
      <w:r>
        <w:rPr>
          <w:color w:val="000000" w:themeColor="text1"/>
        </w:rPr>
        <w:t>U</w:t>
      </w:r>
      <w:r w:rsidRPr="00510BC2">
        <w:rPr>
          <w:color w:val="000000" w:themeColor="text1"/>
        </w:rPr>
        <w:t xml:space="preserve">pdating of data sources </w:t>
      </w:r>
      <w:r>
        <w:rPr>
          <w:color w:val="000000" w:themeColor="text1"/>
        </w:rPr>
        <w:t>according to</w:t>
      </w:r>
      <w:r w:rsidRPr="00510BC2">
        <w:rPr>
          <w:color w:val="000000" w:themeColor="text1"/>
        </w:rPr>
        <w:t xml:space="preserve"> the latest available administrative records from </w:t>
      </w:r>
      <w:r>
        <w:rPr>
          <w:color w:val="000000" w:themeColor="text1"/>
        </w:rPr>
        <w:t>g</w:t>
      </w:r>
      <w:r w:rsidRPr="00510BC2">
        <w:rPr>
          <w:color w:val="000000" w:themeColor="text1"/>
        </w:rPr>
        <w:t>overnment and UNRWA</w:t>
      </w:r>
      <w:r>
        <w:rPr>
          <w:color w:val="000000" w:themeColor="text1"/>
        </w:rPr>
        <w:t xml:space="preserve"> sources, in addition to population estimates</w:t>
      </w:r>
      <w:r w:rsidRPr="00510BC2">
        <w:rPr>
          <w:color w:val="000000" w:themeColor="text1"/>
        </w:rPr>
        <w:t>.</w:t>
      </w:r>
    </w:p>
    <w:p w:rsidR="0087738B" w:rsidRPr="00510BC2" w:rsidRDefault="0087738B" w:rsidP="0087738B">
      <w:pPr>
        <w:numPr>
          <w:ilvl w:val="0"/>
          <w:numId w:val="41"/>
        </w:numPr>
        <w:bidi w:val="0"/>
        <w:jc w:val="lowKashida"/>
        <w:rPr>
          <w:color w:val="000000" w:themeColor="text1"/>
        </w:rPr>
      </w:pPr>
      <w:r>
        <w:rPr>
          <w:color w:val="000000" w:themeColor="text1"/>
        </w:rPr>
        <w:t xml:space="preserve">Harmonization of </w:t>
      </w:r>
      <w:r w:rsidRPr="00510BC2">
        <w:rPr>
          <w:color w:val="000000" w:themeColor="text1"/>
        </w:rPr>
        <w:t xml:space="preserve">methodologies from various data sources based on the </w:t>
      </w:r>
      <w:r>
        <w:rPr>
          <w:color w:val="000000" w:themeColor="text1"/>
        </w:rPr>
        <w:t>most recent for the purposes of consistency and data comparison</w:t>
      </w:r>
      <w:r w:rsidRPr="00510BC2">
        <w:rPr>
          <w:color w:val="000000" w:themeColor="text1"/>
        </w:rPr>
        <w:t>.</w:t>
      </w:r>
    </w:p>
    <w:p w:rsidR="0087738B" w:rsidRPr="00510BC2" w:rsidRDefault="0087738B" w:rsidP="0087738B">
      <w:pPr>
        <w:pStyle w:val="ListParagraph"/>
        <w:numPr>
          <w:ilvl w:val="0"/>
          <w:numId w:val="41"/>
        </w:numPr>
        <w:bidi w:val="0"/>
        <w:rPr>
          <w:color w:val="000000" w:themeColor="text1"/>
          <w:lang w:eastAsia="en-GB"/>
        </w:rPr>
      </w:pPr>
      <w:r w:rsidRPr="00FC4777">
        <w:rPr>
          <w:color w:val="000000" w:themeColor="text1"/>
        </w:rPr>
        <w:t>Unifying</w:t>
      </w:r>
      <w:r w:rsidRPr="00510BC2">
        <w:rPr>
          <w:color w:val="000000" w:themeColor="text1"/>
        </w:rPr>
        <w:t xml:space="preserve"> </w:t>
      </w:r>
      <w:r>
        <w:rPr>
          <w:color w:val="000000" w:themeColor="text1"/>
        </w:rPr>
        <w:t xml:space="preserve">coverage of </w:t>
      </w:r>
      <w:r w:rsidRPr="00510BC2">
        <w:rPr>
          <w:color w:val="000000" w:themeColor="text1"/>
        </w:rPr>
        <w:t>data.</w:t>
      </w:r>
    </w:p>
    <w:p w:rsidR="0087738B" w:rsidRPr="00140214" w:rsidRDefault="0087738B" w:rsidP="0087738B">
      <w:pPr>
        <w:pStyle w:val="Heading1"/>
        <w:jc w:val="left"/>
        <w:rPr>
          <w:color w:val="FF0000"/>
          <w:sz w:val="24"/>
          <w:szCs w:val="24"/>
        </w:rPr>
      </w:pPr>
    </w:p>
    <w:p w:rsidR="0087738B" w:rsidRPr="00510BC2" w:rsidRDefault="0087738B" w:rsidP="0087738B">
      <w:pPr>
        <w:pStyle w:val="Heading2"/>
        <w:ind w:left="360" w:right="360" w:hanging="360"/>
        <w:jc w:val="left"/>
        <w:rPr>
          <w:color w:val="000000" w:themeColor="text1"/>
          <w:sz w:val="24"/>
          <w:szCs w:val="24"/>
          <w:lang w:eastAsia="en-GB"/>
        </w:rPr>
      </w:pPr>
      <w:r>
        <w:rPr>
          <w:color w:val="000000" w:themeColor="text1"/>
          <w:sz w:val="24"/>
          <w:szCs w:val="24"/>
          <w:lang w:eastAsia="en-GB"/>
        </w:rPr>
        <w:t>2.1.</w:t>
      </w:r>
      <w:r w:rsidRPr="00510BC2">
        <w:rPr>
          <w:color w:val="000000" w:themeColor="text1"/>
          <w:sz w:val="24"/>
          <w:szCs w:val="24"/>
          <w:lang w:eastAsia="en-GB"/>
        </w:rPr>
        <w:t xml:space="preserve">2 </w:t>
      </w:r>
      <w:r>
        <w:rPr>
          <w:color w:val="000000" w:themeColor="text1"/>
          <w:sz w:val="24"/>
          <w:szCs w:val="24"/>
          <w:lang w:eastAsia="en-GB"/>
        </w:rPr>
        <w:t>Geographical</w:t>
      </w:r>
      <w:r w:rsidRPr="00510BC2">
        <w:rPr>
          <w:color w:val="000000" w:themeColor="text1"/>
          <w:sz w:val="24"/>
          <w:szCs w:val="24"/>
          <w:lang w:eastAsia="en-GB"/>
        </w:rPr>
        <w:t xml:space="preserve"> </w:t>
      </w:r>
      <w:r>
        <w:rPr>
          <w:color w:val="000000" w:themeColor="text1"/>
          <w:sz w:val="24"/>
          <w:szCs w:val="24"/>
          <w:lang w:eastAsia="en-GB"/>
        </w:rPr>
        <w:t>D</w:t>
      </w:r>
      <w:r w:rsidRPr="00510BC2">
        <w:rPr>
          <w:color w:val="000000" w:themeColor="text1"/>
          <w:sz w:val="24"/>
          <w:szCs w:val="24"/>
          <w:lang w:eastAsia="en-GB"/>
        </w:rPr>
        <w:t>imension</w:t>
      </w:r>
    </w:p>
    <w:p w:rsidR="0087738B" w:rsidRPr="00510BC2" w:rsidRDefault="0087738B" w:rsidP="0087738B">
      <w:pPr>
        <w:bidi w:val="0"/>
        <w:jc w:val="both"/>
        <w:rPr>
          <w:color w:val="000000" w:themeColor="text1"/>
          <w:lang w:eastAsia="en-US"/>
        </w:rPr>
      </w:pPr>
      <w:r w:rsidRPr="00510BC2">
        <w:rPr>
          <w:color w:val="000000" w:themeColor="text1"/>
          <w:lang w:eastAsia="en-US"/>
        </w:rPr>
        <w:t>For statistical purposes, Palestin</w:t>
      </w:r>
      <w:r>
        <w:rPr>
          <w:color w:val="000000" w:themeColor="text1"/>
          <w:lang w:eastAsia="en-US"/>
        </w:rPr>
        <w:t xml:space="preserve">e </w:t>
      </w:r>
      <w:r w:rsidRPr="00510BC2">
        <w:rPr>
          <w:color w:val="000000" w:themeColor="text1"/>
          <w:lang w:eastAsia="en-US"/>
        </w:rPr>
        <w:t xml:space="preserve">was divided into two regions: </w:t>
      </w:r>
      <w:r>
        <w:rPr>
          <w:color w:val="000000" w:themeColor="text1"/>
          <w:lang w:eastAsia="en-US"/>
        </w:rPr>
        <w:t xml:space="preserve">the </w:t>
      </w:r>
      <w:r w:rsidRPr="00510BC2">
        <w:rPr>
          <w:color w:val="000000" w:themeColor="text1"/>
          <w:lang w:eastAsia="en-US"/>
        </w:rPr>
        <w:t>West Bank (WB)</w:t>
      </w:r>
      <w:r>
        <w:rPr>
          <w:color w:val="000000" w:themeColor="text1"/>
          <w:lang w:eastAsia="en-US"/>
        </w:rPr>
        <w:t>,</w:t>
      </w:r>
      <w:r w:rsidRPr="00510BC2">
        <w:rPr>
          <w:color w:val="000000" w:themeColor="text1"/>
          <w:lang w:eastAsia="en-US"/>
        </w:rPr>
        <w:t xml:space="preserve"> excluding </w:t>
      </w:r>
      <w:r w:rsidRPr="0056796D">
        <w:rPr>
          <w:color w:val="000000" w:themeColor="text1"/>
          <w:lang w:eastAsia="en-US"/>
        </w:rPr>
        <w:t xml:space="preserve">those parts of Jerusalem </w:t>
      </w:r>
      <w:r>
        <w:rPr>
          <w:color w:val="000000" w:themeColor="text1"/>
          <w:lang w:eastAsia="en-US"/>
        </w:rPr>
        <w:t>annexed by Israel in 1967,</w:t>
      </w:r>
      <w:r w:rsidRPr="00510BC2">
        <w:rPr>
          <w:color w:val="000000" w:themeColor="text1"/>
          <w:lang w:eastAsia="en-US"/>
        </w:rPr>
        <w:t xml:space="preserve"> and </w:t>
      </w:r>
      <w:r>
        <w:rPr>
          <w:color w:val="000000" w:themeColor="text1"/>
          <w:lang w:eastAsia="en-US"/>
        </w:rPr>
        <w:t xml:space="preserve">the </w:t>
      </w:r>
      <w:r w:rsidRPr="00510BC2">
        <w:rPr>
          <w:color w:val="000000" w:themeColor="text1"/>
          <w:lang w:eastAsia="en-US"/>
        </w:rPr>
        <w:t xml:space="preserve">Gaza Strip. </w:t>
      </w:r>
    </w:p>
    <w:p w:rsidR="0087738B" w:rsidRDefault="0087738B" w:rsidP="0087738B">
      <w:pPr>
        <w:widowControl w:val="0"/>
        <w:bidi w:val="0"/>
        <w:jc w:val="both"/>
        <w:rPr>
          <w:color w:val="000000"/>
          <w:lang w:eastAsia="en-US"/>
        </w:rPr>
      </w:pPr>
    </w:p>
    <w:p w:rsidR="0087738B" w:rsidRPr="00221E7A" w:rsidRDefault="0087738B" w:rsidP="0087738B">
      <w:pPr>
        <w:pStyle w:val="Heading1"/>
        <w:jc w:val="left"/>
        <w:rPr>
          <w:noProof w:val="0"/>
          <w:color w:val="000000"/>
          <w:sz w:val="24"/>
          <w:szCs w:val="24"/>
        </w:rPr>
      </w:pPr>
      <w:r>
        <w:rPr>
          <w:noProof w:val="0"/>
          <w:color w:val="000000"/>
          <w:sz w:val="24"/>
          <w:szCs w:val="24"/>
        </w:rPr>
        <w:t>2.</w:t>
      </w:r>
      <w:r w:rsidRPr="00221E7A">
        <w:rPr>
          <w:noProof w:val="0"/>
          <w:color w:val="000000"/>
          <w:sz w:val="24"/>
          <w:szCs w:val="24"/>
        </w:rPr>
        <w:t>2 M</w:t>
      </w:r>
      <w:r>
        <w:rPr>
          <w:noProof w:val="0"/>
          <w:color w:val="000000"/>
          <w:sz w:val="24"/>
          <w:szCs w:val="24"/>
        </w:rPr>
        <w:t>ethodology of Palestinian</w:t>
      </w:r>
      <w:r w:rsidRPr="00221E7A">
        <w:rPr>
          <w:noProof w:val="0"/>
          <w:color w:val="000000"/>
          <w:sz w:val="24"/>
          <w:szCs w:val="24"/>
        </w:rPr>
        <w:t xml:space="preserve"> Health Accounts </w:t>
      </w:r>
    </w:p>
    <w:p w:rsidR="0087738B" w:rsidRPr="00A21F8B" w:rsidRDefault="0087738B" w:rsidP="0087738B">
      <w:pPr>
        <w:rPr>
          <w:color w:val="000000"/>
          <w:rtl/>
          <w:lang w:eastAsia="en-US"/>
        </w:rPr>
      </w:pPr>
    </w:p>
    <w:p w:rsidR="0087738B" w:rsidRPr="00AB2380" w:rsidRDefault="0087738B" w:rsidP="0087738B">
      <w:pPr>
        <w:pStyle w:val="Heading2"/>
        <w:ind w:left="360" w:right="360" w:hanging="360"/>
        <w:jc w:val="left"/>
        <w:rPr>
          <w:color w:val="000000"/>
          <w:sz w:val="24"/>
          <w:szCs w:val="24"/>
          <w:lang w:eastAsia="en-US"/>
        </w:rPr>
      </w:pPr>
      <w:r>
        <w:rPr>
          <w:color w:val="000000"/>
          <w:sz w:val="24"/>
          <w:szCs w:val="24"/>
          <w:lang w:eastAsia="en-US"/>
        </w:rPr>
        <w:t>2.2.</w:t>
      </w:r>
      <w:r w:rsidRPr="00AB2380">
        <w:rPr>
          <w:color w:val="000000"/>
          <w:sz w:val="24"/>
          <w:szCs w:val="24"/>
          <w:lang w:eastAsia="en-US"/>
        </w:rPr>
        <w:t>1 Classificati</w:t>
      </w:r>
      <w:r>
        <w:rPr>
          <w:color w:val="000000"/>
          <w:sz w:val="24"/>
          <w:szCs w:val="24"/>
          <w:lang w:eastAsia="en-US"/>
        </w:rPr>
        <w:t xml:space="preserve">on Systems </w:t>
      </w:r>
    </w:p>
    <w:p w:rsidR="0087738B" w:rsidRDefault="0087738B" w:rsidP="0087738B">
      <w:pPr>
        <w:bidi w:val="0"/>
        <w:jc w:val="both"/>
        <w:rPr>
          <w:color w:val="000000"/>
          <w:lang w:eastAsia="en-US"/>
        </w:rPr>
      </w:pPr>
      <w:r w:rsidRPr="00A21F8B">
        <w:rPr>
          <w:color w:val="000000"/>
          <w:lang w:eastAsia="en-US"/>
        </w:rPr>
        <w:t xml:space="preserve">The set of Palestinian classifications is based on </w:t>
      </w:r>
      <w:r>
        <w:rPr>
          <w:color w:val="000000"/>
          <w:lang w:eastAsia="en-US"/>
        </w:rPr>
        <w:t>International Classification for Health Accounts (</w:t>
      </w:r>
      <w:r w:rsidRPr="00A21F8B">
        <w:rPr>
          <w:color w:val="000000"/>
          <w:lang w:eastAsia="en-US"/>
        </w:rPr>
        <w:t>ICHA</w:t>
      </w:r>
      <w:r>
        <w:rPr>
          <w:color w:val="000000"/>
          <w:lang w:eastAsia="en-US"/>
        </w:rPr>
        <w:t xml:space="preserve"> used within the System of National Health Accounts for the year 2000 issued by Organization for Economic Co-operation and Development (OECD), and it is</w:t>
      </w:r>
      <w:r w:rsidRPr="00A21F8B">
        <w:rPr>
          <w:color w:val="000000"/>
          <w:lang w:eastAsia="en-US"/>
        </w:rPr>
        <w:t xml:space="preserve"> compatible with SNA</w:t>
      </w:r>
      <w:r>
        <w:rPr>
          <w:color w:val="000000"/>
          <w:lang w:eastAsia="en-US"/>
        </w:rPr>
        <w:t>-</w:t>
      </w:r>
      <w:r w:rsidRPr="00A21F8B">
        <w:rPr>
          <w:color w:val="000000"/>
          <w:lang w:eastAsia="en-US"/>
        </w:rPr>
        <w:t xml:space="preserve">93.  </w:t>
      </w:r>
    </w:p>
    <w:p w:rsidR="0087738B" w:rsidRPr="00A21F8B" w:rsidRDefault="0087738B" w:rsidP="0087738B">
      <w:pPr>
        <w:bidi w:val="0"/>
        <w:jc w:val="both"/>
        <w:rPr>
          <w:color w:val="000000"/>
          <w:rtl/>
          <w:lang w:eastAsia="en-US"/>
        </w:rPr>
      </w:pPr>
      <w:r>
        <w:rPr>
          <w:color w:val="000000"/>
          <w:lang w:eastAsia="en-US"/>
        </w:rPr>
        <w:t>Since health accounts are a branch of satellite accounts, e</w:t>
      </w:r>
      <w:r w:rsidRPr="00A21F8B">
        <w:rPr>
          <w:color w:val="000000"/>
          <w:lang w:eastAsia="en-US"/>
        </w:rPr>
        <w:t>ach item should be explicitly allocated to the category to which it belongs</w:t>
      </w:r>
      <w:r>
        <w:rPr>
          <w:color w:val="000000"/>
          <w:lang w:eastAsia="en-US"/>
        </w:rPr>
        <w:t>.</w:t>
      </w:r>
    </w:p>
    <w:p w:rsidR="0087738B" w:rsidRPr="00A21F8B" w:rsidRDefault="0087738B" w:rsidP="0087738B">
      <w:pPr>
        <w:pStyle w:val="BodyTextIndent2"/>
        <w:rPr>
          <w:color w:val="000000"/>
          <w:lang w:eastAsia="en-US"/>
        </w:rPr>
      </w:pPr>
      <w:r w:rsidRPr="00A21F8B">
        <w:rPr>
          <w:color w:val="000000"/>
          <w:lang w:eastAsia="en-US"/>
        </w:rPr>
        <w:t xml:space="preserve">The compilation of </w:t>
      </w:r>
      <w:r>
        <w:rPr>
          <w:color w:val="000000"/>
          <w:lang w:eastAsia="en-US"/>
        </w:rPr>
        <w:t>Palestinian</w:t>
      </w:r>
      <w:r w:rsidRPr="00A21F8B">
        <w:rPr>
          <w:color w:val="000000"/>
          <w:lang w:eastAsia="en-US"/>
        </w:rPr>
        <w:t xml:space="preserve"> health accounts</w:t>
      </w:r>
      <w:r>
        <w:rPr>
          <w:color w:val="000000"/>
          <w:lang w:eastAsia="en-US"/>
        </w:rPr>
        <w:t xml:space="preserve"> within the three dimensions:</w:t>
      </w:r>
      <w:r w:rsidRPr="00614C1C">
        <w:rPr>
          <w:color w:val="000000"/>
          <w:lang w:eastAsia="en-US"/>
        </w:rPr>
        <w:t xml:space="preserve"> </w:t>
      </w:r>
      <w:r w:rsidRPr="00A21F8B">
        <w:rPr>
          <w:color w:val="000000"/>
          <w:lang w:eastAsia="en-US"/>
        </w:rPr>
        <w:t>Health Care Financing</w:t>
      </w:r>
      <w:r>
        <w:rPr>
          <w:color w:val="000000"/>
          <w:lang w:eastAsia="en-US"/>
        </w:rPr>
        <w:t xml:space="preserve">, Health Care Provider, </w:t>
      </w:r>
      <w:r w:rsidRPr="00A21F8B">
        <w:rPr>
          <w:color w:val="000000"/>
          <w:lang w:eastAsia="en-US"/>
        </w:rPr>
        <w:t>Functional Classification of Health Care</w:t>
      </w:r>
      <w:r>
        <w:rPr>
          <w:color w:val="000000"/>
          <w:lang w:eastAsia="en-US"/>
        </w:rPr>
        <w:t>,</w:t>
      </w:r>
      <w:r w:rsidRPr="00A21F8B">
        <w:rPr>
          <w:color w:val="000000"/>
          <w:lang w:eastAsia="en-US"/>
        </w:rPr>
        <w:t xml:space="preserve"> at current prices </w:t>
      </w:r>
      <w:r>
        <w:rPr>
          <w:color w:val="000000"/>
          <w:lang w:eastAsia="en-US"/>
        </w:rPr>
        <w:t>depends</w:t>
      </w:r>
      <w:r w:rsidRPr="00A21F8B">
        <w:rPr>
          <w:color w:val="000000"/>
          <w:lang w:eastAsia="en-US"/>
        </w:rPr>
        <w:t xml:space="preserve"> of the following three main parts:</w:t>
      </w:r>
    </w:p>
    <w:p w:rsidR="0087738B" w:rsidRPr="00A21F8B" w:rsidRDefault="0087738B" w:rsidP="0087738B">
      <w:pPr>
        <w:numPr>
          <w:ilvl w:val="0"/>
          <w:numId w:val="4"/>
        </w:numPr>
        <w:tabs>
          <w:tab w:val="num" w:pos="720"/>
        </w:tabs>
        <w:bidi w:val="0"/>
        <w:ind w:right="71"/>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National Health Accounts issued by OECD</w:t>
      </w:r>
      <w:r w:rsidRPr="00A21F8B">
        <w:rPr>
          <w:color w:val="000000"/>
          <w:lang w:eastAsia="en-US"/>
        </w:rPr>
        <w:t xml:space="preserve"> (using ICHA-HC Functional Classification of Health Care, ICHA-HP Classification </w:t>
      </w:r>
      <w:r>
        <w:rPr>
          <w:color w:val="000000"/>
          <w:lang w:eastAsia="en-US"/>
        </w:rPr>
        <w:t>of Health Care Provider, ICHA-HF</w:t>
      </w:r>
      <w:r w:rsidRPr="00A21F8B">
        <w:rPr>
          <w:color w:val="000000"/>
          <w:lang w:eastAsia="en-US"/>
        </w:rPr>
        <w:t xml:space="preserve"> Classification of Health Care Financing).</w:t>
      </w:r>
    </w:p>
    <w:p w:rsidR="0087738B" w:rsidRPr="00A21F8B" w:rsidRDefault="0087738B" w:rsidP="0087738B">
      <w:pPr>
        <w:numPr>
          <w:ilvl w:val="0"/>
          <w:numId w:val="4"/>
        </w:numPr>
        <w:tabs>
          <w:tab w:val="num" w:pos="720"/>
        </w:tabs>
        <w:bidi w:val="0"/>
        <w:ind w:right="71"/>
        <w:jc w:val="both"/>
        <w:rPr>
          <w:color w:val="000000"/>
          <w:lang w:eastAsia="en-US"/>
        </w:rPr>
      </w:pPr>
      <w:r w:rsidRPr="00A21F8B">
        <w:rPr>
          <w:color w:val="000000"/>
          <w:lang w:eastAsia="en-US"/>
        </w:rPr>
        <w:t>Preliminary treatment of data in Excel</w:t>
      </w:r>
      <w:r>
        <w:rPr>
          <w:color w:val="000000"/>
          <w:lang w:eastAsia="en-US"/>
        </w:rPr>
        <w:t>,</w:t>
      </w:r>
      <w:r w:rsidRPr="00A21F8B">
        <w:rPr>
          <w:color w:val="000000"/>
          <w:lang w:eastAsia="en-US"/>
        </w:rPr>
        <w:t xml:space="preserve"> and to some extent in Access format. </w:t>
      </w:r>
    </w:p>
    <w:p w:rsidR="0087738B" w:rsidRPr="00A21F8B" w:rsidRDefault="0087738B" w:rsidP="0087738B">
      <w:pPr>
        <w:numPr>
          <w:ilvl w:val="0"/>
          <w:numId w:val="4"/>
        </w:numPr>
        <w:tabs>
          <w:tab w:val="num" w:pos="720"/>
        </w:tabs>
        <w:bidi w:val="0"/>
        <w:ind w:right="71"/>
        <w:jc w:val="both"/>
        <w:rPr>
          <w:color w:val="000000"/>
          <w:lang w:eastAsia="en-US"/>
        </w:rPr>
      </w:pPr>
      <w:r w:rsidRPr="00A21F8B">
        <w:rPr>
          <w:color w:val="000000"/>
          <w:lang w:eastAsia="en-US"/>
        </w:rPr>
        <w:t xml:space="preserve">Aggregated sheet for </w:t>
      </w:r>
      <w:r>
        <w:rPr>
          <w:color w:val="000000"/>
          <w:lang w:eastAsia="en-US"/>
        </w:rPr>
        <w:t xml:space="preserve">the </w:t>
      </w:r>
      <w:r w:rsidRPr="00A21F8B">
        <w:rPr>
          <w:color w:val="000000"/>
          <w:lang w:eastAsia="en-US"/>
        </w:rPr>
        <w:t>total value of expenditure</w:t>
      </w:r>
      <w:r>
        <w:rPr>
          <w:color w:val="000000"/>
          <w:lang w:eastAsia="en-US"/>
        </w:rPr>
        <w:t>s</w:t>
      </w:r>
      <w:r w:rsidRPr="00A21F8B">
        <w:rPr>
          <w:color w:val="000000"/>
          <w:lang w:eastAsia="en-US"/>
        </w:rPr>
        <w:t xml:space="preserve">. </w:t>
      </w:r>
    </w:p>
    <w:p w:rsidR="0087738B" w:rsidRPr="00A21F8B" w:rsidRDefault="0087738B" w:rsidP="0087738B">
      <w:pPr>
        <w:pStyle w:val="Heading2"/>
        <w:jc w:val="left"/>
        <w:rPr>
          <w:b w:val="0"/>
          <w:bCs w:val="0"/>
          <w:color w:val="000000"/>
          <w:sz w:val="24"/>
          <w:szCs w:val="24"/>
          <w:rtl/>
          <w:lang w:eastAsia="en-US"/>
        </w:rPr>
      </w:pPr>
    </w:p>
    <w:p w:rsidR="0087738B" w:rsidRDefault="0087738B" w:rsidP="0087738B">
      <w:pPr>
        <w:pStyle w:val="Heading2"/>
        <w:jc w:val="left"/>
        <w:rPr>
          <w:color w:val="000000"/>
          <w:sz w:val="24"/>
          <w:szCs w:val="24"/>
          <w:lang w:eastAsia="en-GB"/>
        </w:rPr>
      </w:pPr>
      <w:r>
        <w:rPr>
          <w:color w:val="000000"/>
          <w:sz w:val="24"/>
          <w:szCs w:val="24"/>
          <w:lang w:eastAsia="en-GB"/>
        </w:rPr>
        <w:t>2.2.2 Preliminary Treatment of Data from Individual Sources</w:t>
      </w:r>
    </w:p>
    <w:p w:rsidR="0087738B" w:rsidRDefault="0087738B" w:rsidP="0087738B">
      <w:pPr>
        <w:bidi w:val="0"/>
        <w:jc w:val="both"/>
        <w:rPr>
          <w:color w:val="000000"/>
          <w:lang w:eastAsia="en-US"/>
        </w:rPr>
      </w:pPr>
      <w:r>
        <w:rPr>
          <w:color w:val="000000"/>
          <w:lang w:eastAsia="en-US"/>
        </w:rPr>
        <w:t>In the treatment process of data for 2013 and 2014, data sets of each given source were treated independently from other sources. The purpose of this method is twofold:</w:t>
      </w:r>
    </w:p>
    <w:p w:rsidR="0087738B" w:rsidRDefault="0087738B" w:rsidP="0087738B">
      <w:pPr>
        <w:numPr>
          <w:ilvl w:val="0"/>
          <w:numId w:val="6"/>
        </w:numPr>
        <w:tabs>
          <w:tab w:val="right" w:pos="9000"/>
        </w:tabs>
        <w:bidi w:val="0"/>
        <w:ind w:right="71"/>
        <w:jc w:val="both"/>
        <w:rPr>
          <w:color w:val="000000"/>
          <w:lang w:eastAsia="en-US"/>
        </w:rPr>
      </w:pPr>
      <w:r>
        <w:rPr>
          <w:color w:val="000000"/>
          <w:lang w:eastAsia="en-US"/>
        </w:rPr>
        <w:t>To obtain reliable and consistent numbers on relevant transactions with the correct coding and classification;</w:t>
      </w:r>
    </w:p>
    <w:p w:rsidR="0087738B" w:rsidRDefault="0087738B" w:rsidP="0087738B">
      <w:pPr>
        <w:widowControl w:val="0"/>
        <w:numPr>
          <w:ilvl w:val="0"/>
          <w:numId w:val="6"/>
        </w:numPr>
        <w:bidi w:val="0"/>
        <w:ind w:right="360"/>
        <w:jc w:val="both"/>
        <w:rPr>
          <w:color w:val="000000"/>
          <w:lang w:eastAsia="en-US"/>
        </w:rPr>
      </w:pPr>
      <w:r>
        <w:rPr>
          <w:color w:val="000000"/>
          <w:lang w:eastAsia="en-US"/>
        </w:rPr>
        <w:t>To facilitate and speed up data preparation in future years.</w:t>
      </w:r>
    </w:p>
    <w:p w:rsidR="0087738B" w:rsidRDefault="0087738B" w:rsidP="0087738B">
      <w:pPr>
        <w:bidi w:val="0"/>
        <w:spacing w:line="276" w:lineRule="auto"/>
        <w:rPr>
          <w:color w:val="000000"/>
          <w:lang w:eastAsia="en-US"/>
        </w:rPr>
      </w:pPr>
      <w:r>
        <w:rPr>
          <w:color w:val="000000"/>
          <w:lang w:eastAsia="en-US"/>
        </w:rPr>
        <w:br w:type="page"/>
      </w:r>
    </w:p>
    <w:tbl>
      <w:tblPr>
        <w:tblStyle w:val="TableGrid"/>
        <w:tblW w:w="0" w:type="auto"/>
        <w:tblLook w:val="04A0"/>
      </w:tblPr>
      <w:tblGrid>
        <w:gridCol w:w="2802"/>
        <w:gridCol w:w="2976"/>
        <w:gridCol w:w="3509"/>
      </w:tblGrid>
      <w:tr w:rsidR="0087738B" w:rsidRPr="00C2669B" w:rsidTr="0017170F">
        <w:trPr>
          <w:trHeight w:val="410"/>
        </w:trPr>
        <w:tc>
          <w:tcPr>
            <w:tcW w:w="2802" w:type="dxa"/>
            <w:vAlign w:val="center"/>
          </w:tcPr>
          <w:p w:rsidR="0087738B" w:rsidRPr="00C2669B" w:rsidRDefault="0087738B" w:rsidP="0017170F">
            <w:pPr>
              <w:widowControl w:val="0"/>
              <w:bidi w:val="0"/>
              <w:ind w:right="360"/>
              <w:jc w:val="center"/>
              <w:rPr>
                <w:b/>
                <w:bCs/>
                <w:color w:val="000000"/>
                <w:lang w:eastAsia="en-US"/>
              </w:rPr>
            </w:pPr>
            <w:r w:rsidRPr="00C2669B">
              <w:rPr>
                <w:b/>
                <w:bCs/>
                <w:color w:val="000000"/>
                <w:lang w:eastAsia="en-US"/>
              </w:rPr>
              <w:lastRenderedPageBreak/>
              <w:t>Economic Activity</w:t>
            </w:r>
          </w:p>
        </w:tc>
        <w:tc>
          <w:tcPr>
            <w:tcW w:w="2976" w:type="dxa"/>
            <w:vAlign w:val="center"/>
          </w:tcPr>
          <w:p w:rsidR="0087738B" w:rsidRPr="00C2669B" w:rsidRDefault="0087738B" w:rsidP="0017170F">
            <w:pPr>
              <w:widowControl w:val="0"/>
              <w:bidi w:val="0"/>
              <w:ind w:right="360"/>
              <w:jc w:val="center"/>
              <w:rPr>
                <w:b/>
                <w:bCs/>
                <w:color w:val="000000" w:themeColor="text1"/>
                <w:lang w:eastAsia="en-US"/>
              </w:rPr>
            </w:pPr>
            <w:r w:rsidRPr="00C2669B">
              <w:rPr>
                <w:b/>
                <w:bCs/>
                <w:color w:val="000000" w:themeColor="text1"/>
                <w:lang w:eastAsia="en-US"/>
              </w:rPr>
              <w:t>Source</w:t>
            </w:r>
          </w:p>
        </w:tc>
        <w:tc>
          <w:tcPr>
            <w:tcW w:w="3509" w:type="dxa"/>
            <w:vAlign w:val="center"/>
          </w:tcPr>
          <w:p w:rsidR="0087738B" w:rsidRPr="00C2669B" w:rsidRDefault="0087738B" w:rsidP="0017170F">
            <w:pPr>
              <w:widowControl w:val="0"/>
              <w:bidi w:val="0"/>
              <w:ind w:right="360"/>
              <w:jc w:val="center"/>
              <w:rPr>
                <w:b/>
                <w:bCs/>
                <w:color w:val="000000"/>
                <w:lang w:eastAsia="en-US"/>
              </w:rPr>
            </w:pPr>
            <w:r w:rsidRPr="00C2669B">
              <w:rPr>
                <w:b/>
                <w:bCs/>
                <w:color w:val="000000"/>
                <w:lang w:eastAsia="en-US"/>
              </w:rPr>
              <w:t>Technical Notes</w:t>
            </w:r>
          </w:p>
        </w:tc>
      </w:tr>
      <w:tr w:rsidR="0087738B" w:rsidRPr="00C2669B" w:rsidTr="0017170F">
        <w:tc>
          <w:tcPr>
            <w:tcW w:w="2802" w:type="dxa"/>
            <w:vMerge w:val="restart"/>
          </w:tcPr>
          <w:p w:rsidR="0087738B" w:rsidRPr="00C2669B" w:rsidRDefault="0087738B" w:rsidP="0017170F">
            <w:pPr>
              <w:widowControl w:val="0"/>
              <w:bidi w:val="0"/>
              <w:ind w:right="360"/>
              <w:jc w:val="both"/>
              <w:rPr>
                <w:color w:val="000000"/>
                <w:lang w:eastAsia="en-US"/>
              </w:rPr>
            </w:pPr>
            <w:r w:rsidRPr="00C2669B">
              <w:rPr>
                <w:color w:val="000000"/>
                <w:lang w:eastAsia="en-US"/>
              </w:rPr>
              <w:t>Government sector</w:t>
            </w:r>
          </w:p>
        </w:tc>
        <w:tc>
          <w:tcPr>
            <w:tcW w:w="2976" w:type="dxa"/>
          </w:tcPr>
          <w:p w:rsidR="0087738B" w:rsidRPr="00C2669B" w:rsidRDefault="0087738B" w:rsidP="0017170F">
            <w:pPr>
              <w:widowControl w:val="0"/>
              <w:bidi w:val="0"/>
              <w:ind w:right="360"/>
              <w:jc w:val="both"/>
              <w:rPr>
                <w:color w:val="000000" w:themeColor="text1"/>
                <w:lang w:eastAsia="en-US"/>
              </w:rPr>
            </w:pPr>
            <w:r w:rsidRPr="00C2669B">
              <w:rPr>
                <w:color w:val="000000" w:themeColor="text1"/>
                <w:lang w:eastAsia="en-US"/>
              </w:rPr>
              <w:t>1.Ministry Of Health</w:t>
            </w:r>
          </w:p>
        </w:tc>
        <w:tc>
          <w:tcPr>
            <w:tcW w:w="3509" w:type="dxa"/>
          </w:tcPr>
          <w:p w:rsidR="0087738B" w:rsidRPr="00C2669B" w:rsidRDefault="0087738B" w:rsidP="0017170F">
            <w:pPr>
              <w:widowControl w:val="0"/>
              <w:bidi w:val="0"/>
              <w:ind w:right="360"/>
              <w:jc w:val="both"/>
              <w:rPr>
                <w:color w:val="000000"/>
                <w:lang w:eastAsia="en-US"/>
              </w:rPr>
            </w:pPr>
            <w:r w:rsidRPr="00C2669B">
              <w:rPr>
                <w:color w:val="000000"/>
                <w:lang w:eastAsia="en-US"/>
              </w:rPr>
              <w:t xml:space="preserve">1. Obtained detailed data of revenues and expenditures and treatment </w:t>
            </w:r>
            <w:r>
              <w:rPr>
                <w:color w:val="000000"/>
                <w:lang w:eastAsia="en-US"/>
              </w:rPr>
              <w:t>inside Palestine and transfers abroad.</w:t>
            </w:r>
          </w:p>
          <w:p w:rsidR="0087738B" w:rsidRPr="00C2669B" w:rsidRDefault="0087738B" w:rsidP="0017170F">
            <w:pPr>
              <w:widowControl w:val="0"/>
              <w:bidi w:val="0"/>
              <w:ind w:right="360"/>
              <w:jc w:val="both"/>
              <w:rPr>
                <w:color w:val="000000"/>
                <w:lang w:eastAsia="en-US"/>
              </w:rPr>
            </w:pPr>
            <w:r w:rsidRPr="00C2669B">
              <w:rPr>
                <w:color w:val="000000"/>
                <w:lang w:eastAsia="en-US"/>
              </w:rPr>
              <w:t>2. Based on cost analysis study for government hospitals to reclassify total cost by health functions.</w:t>
            </w:r>
          </w:p>
        </w:tc>
      </w:tr>
      <w:tr w:rsidR="0087738B" w:rsidRPr="00C2669B" w:rsidTr="0017170F">
        <w:tc>
          <w:tcPr>
            <w:tcW w:w="2802" w:type="dxa"/>
            <w:vMerge/>
          </w:tcPr>
          <w:p w:rsidR="0087738B" w:rsidRPr="00C2669B" w:rsidRDefault="0087738B" w:rsidP="0017170F">
            <w:pPr>
              <w:widowControl w:val="0"/>
              <w:bidi w:val="0"/>
              <w:ind w:right="360"/>
              <w:jc w:val="both"/>
              <w:rPr>
                <w:color w:val="000000"/>
                <w:lang w:eastAsia="en-US"/>
              </w:rPr>
            </w:pPr>
          </w:p>
        </w:tc>
        <w:tc>
          <w:tcPr>
            <w:tcW w:w="2976" w:type="dxa"/>
          </w:tcPr>
          <w:p w:rsidR="0087738B" w:rsidRPr="00C2669B" w:rsidRDefault="0087738B" w:rsidP="0017170F">
            <w:pPr>
              <w:widowControl w:val="0"/>
              <w:bidi w:val="0"/>
              <w:ind w:right="360"/>
              <w:jc w:val="both"/>
              <w:rPr>
                <w:color w:val="000000" w:themeColor="text1"/>
                <w:lang w:eastAsia="en-US"/>
              </w:rPr>
            </w:pPr>
            <w:r w:rsidRPr="00C2669B">
              <w:rPr>
                <w:color w:val="000000" w:themeColor="text1"/>
              </w:rPr>
              <w:t>2. Administrative records of m</w:t>
            </w:r>
            <w:r w:rsidRPr="00C2669B">
              <w:rPr>
                <w:color w:val="000000" w:themeColor="text1"/>
                <w:lang w:eastAsia="en-US"/>
              </w:rPr>
              <w:t>ilitary services.</w:t>
            </w:r>
          </w:p>
        </w:tc>
        <w:tc>
          <w:tcPr>
            <w:tcW w:w="3509" w:type="dxa"/>
          </w:tcPr>
          <w:p w:rsidR="0087738B" w:rsidRPr="00C2669B" w:rsidRDefault="0087738B" w:rsidP="0017170F">
            <w:pPr>
              <w:pStyle w:val="BodyText3"/>
              <w:jc w:val="both"/>
              <w:rPr>
                <w:rFonts w:ascii="Times New Roman" w:hAnsi="Times New Roman"/>
                <w:b w:val="0"/>
                <w:bCs w:val="0"/>
                <w:lang w:eastAsia="en-US"/>
              </w:rPr>
            </w:pPr>
            <w:r w:rsidRPr="00C2669B">
              <w:rPr>
                <w:rFonts w:ascii="Times New Roman" w:hAnsi="Times New Roman"/>
                <w:b w:val="0"/>
                <w:bCs w:val="0"/>
                <w:lang w:eastAsia="en-US"/>
              </w:rPr>
              <w:t>It was not possible to obtain any financial data on these services but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87738B" w:rsidRPr="00C2669B" w:rsidTr="0017170F">
        <w:tc>
          <w:tcPr>
            <w:tcW w:w="2802" w:type="dxa"/>
          </w:tcPr>
          <w:p w:rsidR="0087738B" w:rsidRPr="00C2669B" w:rsidRDefault="0087738B" w:rsidP="0017170F">
            <w:pPr>
              <w:widowControl w:val="0"/>
              <w:bidi w:val="0"/>
              <w:ind w:right="360"/>
              <w:jc w:val="both"/>
              <w:rPr>
                <w:color w:val="000000"/>
                <w:lang w:eastAsia="en-US"/>
              </w:rPr>
            </w:pPr>
            <w:r w:rsidRPr="00C2669B">
              <w:rPr>
                <w:color w:val="000000"/>
                <w:lang w:eastAsia="en-US"/>
              </w:rPr>
              <w:t>Rest of the world and other sectors</w:t>
            </w:r>
          </w:p>
        </w:tc>
        <w:tc>
          <w:tcPr>
            <w:tcW w:w="2976" w:type="dxa"/>
          </w:tcPr>
          <w:p w:rsidR="0087738B" w:rsidRPr="00C2669B" w:rsidRDefault="0087738B" w:rsidP="0017170F">
            <w:pPr>
              <w:widowControl w:val="0"/>
              <w:bidi w:val="0"/>
              <w:ind w:right="360"/>
              <w:jc w:val="both"/>
              <w:rPr>
                <w:color w:val="000000"/>
                <w:lang w:eastAsia="en-US"/>
              </w:rPr>
            </w:pPr>
            <w:r w:rsidRPr="00C2669B">
              <w:rPr>
                <w:color w:val="000000"/>
                <w:lang w:eastAsia="en-US"/>
              </w:rPr>
              <w:t>Ministry of Planning</w:t>
            </w:r>
          </w:p>
        </w:tc>
        <w:tc>
          <w:tcPr>
            <w:tcW w:w="3509" w:type="dxa"/>
          </w:tcPr>
          <w:p w:rsidR="0087738B" w:rsidRPr="00C2669B" w:rsidRDefault="0087738B" w:rsidP="0017170F">
            <w:pPr>
              <w:widowControl w:val="0"/>
              <w:bidi w:val="0"/>
              <w:ind w:right="360"/>
              <w:jc w:val="both"/>
              <w:rPr>
                <w:color w:val="000000"/>
                <w:lang w:eastAsia="en-US"/>
              </w:rPr>
            </w:pPr>
            <w:r w:rsidRPr="00C2669B">
              <w:rPr>
                <w:color w:val="000000"/>
                <w:lang w:eastAsia="en-US"/>
              </w:rPr>
              <w:t xml:space="preserve">PCBS obtained a list of projects that support the health sector in </w:t>
            </w:r>
            <w:r>
              <w:rPr>
                <w:color w:val="000000"/>
                <w:lang w:eastAsia="en-US"/>
              </w:rPr>
              <w:t>Palestine</w:t>
            </w:r>
            <w:r w:rsidRPr="00C2669B">
              <w:rPr>
                <w:color w:val="000000"/>
                <w:lang w:eastAsia="en-US"/>
              </w:rPr>
              <w:t>, as registered in the Ministry of Planning.</w:t>
            </w:r>
          </w:p>
        </w:tc>
      </w:tr>
      <w:tr w:rsidR="0087738B" w:rsidRPr="00C2669B" w:rsidTr="0017170F">
        <w:tc>
          <w:tcPr>
            <w:tcW w:w="2802" w:type="dxa"/>
            <w:vMerge w:val="restart"/>
          </w:tcPr>
          <w:p w:rsidR="0087738B" w:rsidRPr="00C2669B" w:rsidRDefault="0087738B" w:rsidP="0017170F">
            <w:pPr>
              <w:widowControl w:val="0"/>
              <w:bidi w:val="0"/>
              <w:ind w:right="360"/>
              <w:jc w:val="both"/>
              <w:rPr>
                <w:color w:val="000000"/>
                <w:lang w:eastAsia="en-US"/>
              </w:rPr>
            </w:pPr>
            <w:r w:rsidRPr="00C2669B">
              <w:rPr>
                <w:color w:val="000000"/>
                <w:lang w:eastAsia="en-US"/>
              </w:rPr>
              <w:t>Non-profit institution serving households</w:t>
            </w:r>
          </w:p>
        </w:tc>
        <w:tc>
          <w:tcPr>
            <w:tcW w:w="2976" w:type="dxa"/>
          </w:tcPr>
          <w:p w:rsidR="0087738B" w:rsidRPr="00C2669B" w:rsidRDefault="0087738B" w:rsidP="0017170F">
            <w:pPr>
              <w:widowControl w:val="0"/>
              <w:bidi w:val="0"/>
              <w:ind w:right="360"/>
              <w:jc w:val="both"/>
              <w:rPr>
                <w:color w:val="000000"/>
                <w:lang w:eastAsia="en-US"/>
              </w:rPr>
            </w:pPr>
            <w:r w:rsidRPr="00C2669B">
              <w:rPr>
                <w:lang w:eastAsia="en-US"/>
              </w:rPr>
              <w:t>1.United Nations Relief and Works Agency</w:t>
            </w:r>
            <w:r w:rsidRPr="00C2669B">
              <w:rPr>
                <w:color w:val="000000"/>
                <w:lang w:eastAsia="en-US"/>
              </w:rPr>
              <w:t xml:space="preserve"> for Palestine Refugees</w:t>
            </w:r>
            <w:r>
              <w:rPr>
                <w:color w:val="000000"/>
                <w:lang w:eastAsia="en-US"/>
              </w:rPr>
              <w:t xml:space="preserve"> (UNRWA)</w:t>
            </w:r>
          </w:p>
        </w:tc>
        <w:tc>
          <w:tcPr>
            <w:tcW w:w="3509" w:type="dxa"/>
          </w:tcPr>
          <w:p w:rsidR="0087738B" w:rsidRPr="00C2669B" w:rsidRDefault="0087738B" w:rsidP="0017170F">
            <w:pPr>
              <w:widowControl w:val="0"/>
              <w:bidi w:val="0"/>
              <w:ind w:right="360"/>
              <w:jc w:val="both"/>
              <w:rPr>
                <w:color w:val="000000"/>
                <w:lang w:eastAsia="en-US"/>
              </w:rPr>
            </w:pPr>
            <w:r w:rsidRPr="00C2669B">
              <w:rPr>
                <w:color w:val="000000"/>
                <w:lang w:eastAsia="en-US"/>
              </w:rPr>
              <w:t>Based on the total expenditure by UNRWA</w:t>
            </w:r>
            <w:r>
              <w:rPr>
                <w:color w:val="000000"/>
                <w:lang w:eastAsia="en-US"/>
              </w:rPr>
              <w:t>, PCBS</w:t>
            </w:r>
            <w:r w:rsidRPr="00C2669B">
              <w:rPr>
                <w:color w:val="000000"/>
                <w:lang w:eastAsia="en-US"/>
              </w:rPr>
              <w:t xml:space="preserve">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 care centers.</w:t>
            </w:r>
          </w:p>
        </w:tc>
      </w:tr>
      <w:tr w:rsidR="0087738B" w:rsidRPr="00C2669B" w:rsidTr="0017170F">
        <w:tc>
          <w:tcPr>
            <w:tcW w:w="2802" w:type="dxa"/>
            <w:vMerge/>
          </w:tcPr>
          <w:p w:rsidR="0087738B" w:rsidRPr="00C2669B" w:rsidRDefault="0087738B" w:rsidP="0017170F">
            <w:pPr>
              <w:widowControl w:val="0"/>
              <w:bidi w:val="0"/>
              <w:ind w:right="360"/>
              <w:jc w:val="both"/>
              <w:rPr>
                <w:color w:val="000000"/>
                <w:lang w:eastAsia="en-US"/>
              </w:rPr>
            </w:pPr>
          </w:p>
        </w:tc>
        <w:tc>
          <w:tcPr>
            <w:tcW w:w="2976" w:type="dxa"/>
          </w:tcPr>
          <w:p w:rsidR="0087738B" w:rsidRPr="00C2669B" w:rsidRDefault="0087738B" w:rsidP="0017170F">
            <w:pPr>
              <w:widowControl w:val="0"/>
              <w:bidi w:val="0"/>
              <w:ind w:right="360"/>
              <w:jc w:val="both"/>
              <w:rPr>
                <w:lang w:eastAsia="en-US"/>
              </w:rPr>
            </w:pPr>
            <w:r w:rsidRPr="00C2669B">
              <w:rPr>
                <w:lang w:eastAsia="en-US"/>
              </w:rPr>
              <w:t xml:space="preserve">2. </w:t>
            </w:r>
            <w:r>
              <w:rPr>
                <w:lang w:eastAsia="en-US"/>
              </w:rPr>
              <w:t>Nonprofit institutions</w:t>
            </w:r>
            <w:r w:rsidRPr="00C2669B">
              <w:rPr>
                <w:lang w:eastAsia="en-US"/>
              </w:rPr>
              <w:t xml:space="preserve"> of health activities from </w:t>
            </w:r>
            <w:r>
              <w:rPr>
                <w:lang w:eastAsia="en-US"/>
              </w:rPr>
              <w:t>the services survey within the economic surveys series conducted annually by PCBS.</w:t>
            </w:r>
          </w:p>
        </w:tc>
        <w:tc>
          <w:tcPr>
            <w:tcW w:w="3509" w:type="dxa"/>
          </w:tcPr>
          <w:p w:rsidR="0087738B" w:rsidRPr="00C2669B" w:rsidRDefault="0087738B" w:rsidP="0017170F">
            <w:pPr>
              <w:widowControl w:val="0"/>
              <w:bidi w:val="0"/>
              <w:ind w:right="360"/>
              <w:jc w:val="both"/>
              <w:rPr>
                <w:color w:val="000000"/>
                <w:lang w:eastAsia="en-US"/>
              </w:rPr>
            </w:pPr>
          </w:p>
        </w:tc>
      </w:tr>
      <w:tr w:rsidR="0087738B" w:rsidRPr="00C2669B" w:rsidTr="0017170F">
        <w:tc>
          <w:tcPr>
            <w:tcW w:w="2802" w:type="dxa"/>
          </w:tcPr>
          <w:p w:rsidR="0087738B" w:rsidRPr="00C2669B" w:rsidRDefault="0087738B" w:rsidP="0017170F">
            <w:pPr>
              <w:widowControl w:val="0"/>
              <w:bidi w:val="0"/>
              <w:ind w:right="360"/>
              <w:jc w:val="both"/>
              <w:rPr>
                <w:color w:val="000000"/>
                <w:lang w:eastAsia="en-US"/>
              </w:rPr>
            </w:pPr>
            <w:r>
              <w:rPr>
                <w:color w:val="000000"/>
                <w:lang w:eastAsia="en-US"/>
              </w:rPr>
              <w:t>Household</w:t>
            </w:r>
            <w:r w:rsidRPr="00C2669B">
              <w:rPr>
                <w:color w:val="000000"/>
                <w:lang w:eastAsia="en-US"/>
              </w:rPr>
              <w:t xml:space="preserve"> sector</w:t>
            </w:r>
          </w:p>
        </w:tc>
        <w:tc>
          <w:tcPr>
            <w:tcW w:w="2976" w:type="dxa"/>
          </w:tcPr>
          <w:p w:rsidR="0087738B" w:rsidRPr="00C2669B" w:rsidRDefault="0087738B" w:rsidP="0017170F">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conducted by the Palestinian Central Bureau of Statistics for the year 2011.</w:t>
            </w:r>
          </w:p>
        </w:tc>
        <w:tc>
          <w:tcPr>
            <w:tcW w:w="3509" w:type="dxa"/>
          </w:tcPr>
          <w:p w:rsidR="0087738B" w:rsidRPr="00C2669B" w:rsidRDefault="0087738B" w:rsidP="0017170F">
            <w:pPr>
              <w:widowControl w:val="0"/>
              <w:bidi w:val="0"/>
              <w:ind w:right="360"/>
              <w:jc w:val="both"/>
              <w:rPr>
                <w:color w:val="000000"/>
                <w:lang w:eastAsia="en-US"/>
              </w:rPr>
            </w:pPr>
          </w:p>
        </w:tc>
      </w:tr>
      <w:tr w:rsidR="0087738B" w:rsidRPr="00C2669B" w:rsidTr="0017170F">
        <w:tc>
          <w:tcPr>
            <w:tcW w:w="2802" w:type="dxa"/>
          </w:tcPr>
          <w:p w:rsidR="0087738B" w:rsidRPr="00C2669B" w:rsidRDefault="0087738B" w:rsidP="0017170F">
            <w:pPr>
              <w:widowControl w:val="0"/>
              <w:bidi w:val="0"/>
              <w:ind w:right="360"/>
              <w:jc w:val="both"/>
              <w:rPr>
                <w:color w:val="000000"/>
                <w:lang w:eastAsia="en-US"/>
              </w:rPr>
            </w:pPr>
            <w:r w:rsidRPr="00C2669B">
              <w:rPr>
                <w:color w:val="000000"/>
              </w:rPr>
              <w:t xml:space="preserve">Insurance </w:t>
            </w:r>
            <w:r>
              <w:rPr>
                <w:color w:val="000000"/>
              </w:rPr>
              <w:t>enterprises</w:t>
            </w:r>
          </w:p>
        </w:tc>
        <w:tc>
          <w:tcPr>
            <w:tcW w:w="2976" w:type="dxa"/>
          </w:tcPr>
          <w:p w:rsidR="0087738B" w:rsidRPr="00C2669B" w:rsidRDefault="0087738B" w:rsidP="0017170F">
            <w:pPr>
              <w:widowControl w:val="0"/>
              <w:bidi w:val="0"/>
              <w:ind w:right="360"/>
              <w:jc w:val="both"/>
              <w:rPr>
                <w:color w:val="000000"/>
              </w:rPr>
            </w:pPr>
            <w:r w:rsidRPr="00C2669B">
              <w:rPr>
                <w:rStyle w:val="Emphasis"/>
                <w:i w:val="0"/>
                <w:iCs w:val="0"/>
                <w:color w:val="000000"/>
              </w:rPr>
              <w:t xml:space="preserve">Survey of insurance </w:t>
            </w:r>
            <w:r>
              <w:rPr>
                <w:color w:val="000000"/>
              </w:rPr>
              <w:t>enterprises attached to the Finance and Insurance Survey conducted annually by PCBS.</w:t>
            </w:r>
          </w:p>
        </w:tc>
        <w:tc>
          <w:tcPr>
            <w:tcW w:w="3509" w:type="dxa"/>
          </w:tcPr>
          <w:p w:rsidR="0087738B" w:rsidRPr="00C2669B" w:rsidRDefault="0087738B" w:rsidP="0017170F">
            <w:pPr>
              <w:pStyle w:val="BodyText2"/>
              <w:widowControl w:val="0"/>
              <w:rPr>
                <w:lang w:eastAsia="en-US"/>
              </w:rPr>
            </w:pPr>
            <w:r w:rsidRPr="00C2669B">
              <w:rPr>
                <w:lang w:eastAsia="en-US"/>
              </w:rPr>
              <w:t xml:space="preserve">Determining premiums and claims for health insurance in the total economy. </w:t>
            </w:r>
          </w:p>
          <w:p w:rsidR="0087738B" w:rsidRPr="00C2669B" w:rsidRDefault="0087738B" w:rsidP="0017170F">
            <w:pPr>
              <w:widowControl w:val="0"/>
              <w:bidi w:val="0"/>
              <w:ind w:right="360"/>
              <w:jc w:val="both"/>
              <w:rPr>
                <w:color w:val="000000"/>
                <w:lang w:eastAsia="en-US"/>
              </w:rPr>
            </w:pPr>
          </w:p>
        </w:tc>
      </w:tr>
      <w:tr w:rsidR="0087738B" w:rsidRPr="00C2669B" w:rsidTr="0017170F">
        <w:tc>
          <w:tcPr>
            <w:tcW w:w="2802" w:type="dxa"/>
          </w:tcPr>
          <w:p w:rsidR="0087738B" w:rsidRPr="00C2669B" w:rsidRDefault="0087738B" w:rsidP="0017170F">
            <w:pPr>
              <w:widowControl w:val="0"/>
              <w:bidi w:val="0"/>
              <w:ind w:right="360"/>
              <w:jc w:val="both"/>
              <w:rPr>
                <w:color w:val="000000"/>
                <w:lang w:eastAsia="en-US"/>
              </w:rPr>
            </w:pPr>
            <w:r w:rsidRPr="00C2669B">
              <w:rPr>
                <w:color w:val="000000"/>
                <w:lang w:eastAsia="en-US"/>
              </w:rPr>
              <w:t>Private sector</w:t>
            </w:r>
          </w:p>
        </w:tc>
        <w:tc>
          <w:tcPr>
            <w:tcW w:w="2976" w:type="dxa"/>
          </w:tcPr>
          <w:p w:rsidR="0087738B" w:rsidRPr="00C2669B" w:rsidRDefault="0087738B" w:rsidP="0017170F">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conducted by the Palestinian Central Bureau of Statistics for the year 2011.</w:t>
            </w:r>
          </w:p>
        </w:tc>
        <w:tc>
          <w:tcPr>
            <w:tcW w:w="3509" w:type="dxa"/>
          </w:tcPr>
          <w:p w:rsidR="0087738B" w:rsidRPr="00C2669B" w:rsidRDefault="0087738B" w:rsidP="0017170F">
            <w:pPr>
              <w:widowControl w:val="0"/>
              <w:bidi w:val="0"/>
              <w:jc w:val="both"/>
              <w:rPr>
                <w:color w:val="000000"/>
                <w:lang w:eastAsia="en-US"/>
              </w:rPr>
            </w:pPr>
            <w:r w:rsidRPr="00C2669B">
              <w:rPr>
                <w:color w:val="000000"/>
                <w:lang w:eastAsia="en-US"/>
              </w:rPr>
              <w:t xml:space="preserve">Determining household out-of-pocket expenditure for private sector to determine the value of expenditure on medical and pharmaceutical goods. </w:t>
            </w:r>
          </w:p>
          <w:p w:rsidR="0087738B" w:rsidRPr="00C2669B" w:rsidRDefault="0087738B" w:rsidP="0017170F">
            <w:pPr>
              <w:widowControl w:val="0"/>
              <w:bidi w:val="0"/>
              <w:ind w:right="360"/>
              <w:jc w:val="both"/>
              <w:rPr>
                <w:color w:val="000000"/>
                <w:lang w:eastAsia="en-US"/>
              </w:rPr>
            </w:pPr>
          </w:p>
        </w:tc>
      </w:tr>
    </w:tbl>
    <w:p w:rsidR="0087738B" w:rsidRPr="00461B79" w:rsidRDefault="0087738B" w:rsidP="0087738B">
      <w:pPr>
        <w:pStyle w:val="Heading2"/>
        <w:jc w:val="left"/>
        <w:rPr>
          <w:sz w:val="24"/>
          <w:szCs w:val="24"/>
        </w:rPr>
      </w:pPr>
      <w:r>
        <w:rPr>
          <w:sz w:val="24"/>
          <w:szCs w:val="24"/>
        </w:rPr>
        <w:lastRenderedPageBreak/>
        <w:t xml:space="preserve">2.3 </w:t>
      </w:r>
      <w:r w:rsidRPr="00461B79">
        <w:rPr>
          <w:sz w:val="24"/>
          <w:szCs w:val="24"/>
        </w:rPr>
        <w:t>Data Quality</w:t>
      </w:r>
    </w:p>
    <w:p w:rsidR="0087738B" w:rsidRDefault="0087738B" w:rsidP="0087738B">
      <w:pPr>
        <w:bidi w:val="0"/>
        <w:jc w:val="lowKashida"/>
      </w:pPr>
      <w:r>
        <w:t>Since the Palestinian health accounts were established, PCBS has worked strenuously to ensure data quality and coverage by the adoption of a number of practices, which may be summarized as follows:</w:t>
      </w:r>
    </w:p>
    <w:p w:rsidR="0087738B" w:rsidRDefault="0087738B" w:rsidP="0087738B">
      <w:pPr>
        <w:numPr>
          <w:ilvl w:val="0"/>
          <w:numId w:val="30"/>
        </w:numPr>
        <w:bidi w:val="0"/>
        <w:jc w:val="lowKashida"/>
      </w:pPr>
      <w:r>
        <w:t>Conducting specialized surveys covering health activities, such as the health care providers and beneficiaries’ survey.</w:t>
      </w:r>
    </w:p>
    <w:p w:rsidR="0087738B" w:rsidRDefault="0087738B" w:rsidP="0087738B">
      <w:pPr>
        <w:numPr>
          <w:ilvl w:val="0"/>
          <w:numId w:val="30"/>
        </w:numPr>
        <w:bidi w:val="0"/>
        <w:jc w:val="lowKashida"/>
      </w:pPr>
      <w:r>
        <w:t>Conducting appendix to finance and insurance survey to cover health insurance.</w:t>
      </w:r>
    </w:p>
    <w:p w:rsidR="0087738B" w:rsidRDefault="0087738B" w:rsidP="0087738B">
      <w:pPr>
        <w:numPr>
          <w:ilvl w:val="0"/>
          <w:numId w:val="30"/>
        </w:numPr>
        <w:bidi w:val="0"/>
        <w:jc w:val="lowKashida"/>
      </w:pPr>
      <w:r w:rsidRPr="004C3C18">
        <w:t>Developing data quality</w:t>
      </w:r>
      <w:r>
        <w:t xml:space="preserve"> for the detailed items of the health expenditure by providers and function of care based on specialized studies.</w:t>
      </w:r>
    </w:p>
    <w:p w:rsidR="0087738B" w:rsidRDefault="0087738B" w:rsidP="0087738B">
      <w:pPr>
        <w:numPr>
          <w:ilvl w:val="0"/>
          <w:numId w:val="30"/>
        </w:numPr>
        <w:bidi w:val="0"/>
        <w:jc w:val="lowKashida"/>
      </w:pPr>
      <w:r>
        <w:t>Developing the consistency of data after updating from various sources and comparing data structure (percentage of total health expenditure according to the source of funding, health care provider and function of care), in addition to comparing consistency during the time series.</w:t>
      </w:r>
    </w:p>
    <w:p w:rsidR="0087738B" w:rsidRDefault="0087738B" w:rsidP="0087738B">
      <w:pPr>
        <w:bidi w:val="0"/>
        <w:ind w:right="71"/>
        <w:jc w:val="both"/>
        <w:rPr>
          <w:rStyle w:val="longtext1"/>
          <w:color w:val="000000"/>
          <w:sz w:val="24"/>
          <w:szCs w:val="24"/>
          <w:shd w:val="clear" w:color="auto" w:fill="FFFFFF"/>
        </w:rPr>
      </w:pPr>
    </w:p>
    <w:p w:rsidR="0087738B" w:rsidRDefault="0087738B" w:rsidP="0087738B">
      <w:pPr>
        <w:bidi w:val="0"/>
        <w:ind w:right="71"/>
        <w:jc w:val="both"/>
        <w:rPr>
          <w:rStyle w:val="longtext1"/>
          <w:color w:val="000000"/>
          <w:sz w:val="24"/>
          <w:szCs w:val="24"/>
        </w:rPr>
      </w:pPr>
      <w:r>
        <w:rPr>
          <w:rStyle w:val="longtext1"/>
          <w:color w:val="000000"/>
          <w:sz w:val="24"/>
          <w:szCs w:val="24"/>
          <w:shd w:val="clear" w:color="auto" w:fill="FFFFFF"/>
        </w:rPr>
        <w:t>Despite these measures, some problems and challenges remained in the development of coverage and the comprehensiveness of the data, primarily:</w:t>
      </w:r>
    </w:p>
    <w:p w:rsidR="0087738B" w:rsidRDefault="0087738B" w:rsidP="0087738B">
      <w:pPr>
        <w:numPr>
          <w:ilvl w:val="0"/>
          <w:numId w:val="35"/>
        </w:numPr>
        <w:tabs>
          <w:tab w:val="right" w:pos="9000"/>
        </w:tabs>
        <w:bidi w:val="0"/>
        <w:ind w:right="71"/>
        <w:jc w:val="both"/>
        <w:rPr>
          <w:color w:val="000000"/>
          <w:shd w:val="clear" w:color="auto" w:fill="FFFFFF"/>
        </w:rPr>
      </w:pPr>
      <w:r>
        <w:rPr>
          <w:rStyle w:val="longtext1"/>
          <w:color w:val="000000"/>
          <w:sz w:val="24"/>
          <w:szCs w:val="24"/>
          <w:shd w:val="clear" w:color="auto" w:fill="FFFFFF"/>
        </w:rPr>
        <w:t>The sampling design of the economic surveys (services, domestic trade) did not take into consideration the purpose of the health accounts.</w:t>
      </w:r>
    </w:p>
    <w:p w:rsidR="0087738B" w:rsidRDefault="0087738B" w:rsidP="0087738B">
      <w:pPr>
        <w:numPr>
          <w:ilvl w:val="0"/>
          <w:numId w:val="35"/>
        </w:numPr>
        <w:tabs>
          <w:tab w:val="right" w:pos="9000"/>
        </w:tabs>
        <w:bidi w:val="0"/>
        <w:ind w:right="71"/>
        <w:jc w:val="both"/>
        <w:rPr>
          <w:rStyle w:val="longtext1"/>
          <w:color w:val="000000"/>
          <w:sz w:val="24"/>
          <w:szCs w:val="24"/>
          <w:shd w:val="clear" w:color="auto" w:fill="FFFFFF"/>
        </w:rPr>
      </w:pPr>
      <w:r>
        <w:rPr>
          <w:rStyle w:val="longtext1"/>
          <w:color w:val="000000"/>
          <w:sz w:val="24"/>
          <w:szCs w:val="24"/>
          <w:shd w:val="clear" w:color="auto" w:fill="FFFFFF"/>
        </w:rPr>
        <w:t>The lack of financial statements for the military medical services sector, which is part of government spending.</w:t>
      </w:r>
    </w:p>
    <w:p w:rsidR="0087738B" w:rsidRPr="00265EE1" w:rsidRDefault="0087738B" w:rsidP="0087738B">
      <w:pPr>
        <w:numPr>
          <w:ilvl w:val="0"/>
          <w:numId w:val="35"/>
        </w:numPr>
        <w:tabs>
          <w:tab w:val="right" w:pos="9000"/>
        </w:tabs>
        <w:bidi w:val="0"/>
        <w:ind w:right="71"/>
        <w:jc w:val="both"/>
        <w:rPr>
          <w:rStyle w:val="longtext1"/>
          <w:color w:val="FF0000"/>
          <w:sz w:val="24"/>
          <w:szCs w:val="24"/>
          <w:shd w:val="clear" w:color="auto" w:fill="FFFFFF"/>
        </w:rPr>
      </w:pPr>
      <w:r>
        <w:rPr>
          <w:rStyle w:val="longtext1"/>
          <w:color w:val="000000"/>
          <w:sz w:val="24"/>
          <w:szCs w:val="24"/>
          <w:shd w:val="clear" w:color="auto" w:fill="FFFFFF"/>
        </w:rPr>
        <w:t xml:space="preserve">Data for </w:t>
      </w:r>
      <w:r>
        <w:rPr>
          <w:color w:val="000000"/>
        </w:rPr>
        <w:t>non-profit institutions serving households (NPISH) have</w:t>
      </w:r>
      <w:r>
        <w:rPr>
          <w:rStyle w:val="longtext1"/>
          <w:color w:val="000000"/>
          <w:sz w:val="24"/>
          <w:szCs w:val="24"/>
          <w:shd w:val="clear" w:color="auto" w:fill="FFFFFF"/>
        </w:rPr>
        <w:t xml:space="preserve"> two sources, namely UNRWA (as the main provider of health services in Palestine) and secondly, charitable associations working to provide medical services in different  governorates as ascertained in the economic surveys and weighted to reflect conditions in the general economy.</w:t>
      </w:r>
    </w:p>
    <w:p w:rsidR="0087738B" w:rsidRPr="00265EE1" w:rsidRDefault="0087738B" w:rsidP="0087738B">
      <w:pPr>
        <w:pStyle w:val="ListParagraph"/>
        <w:numPr>
          <w:ilvl w:val="0"/>
          <w:numId w:val="35"/>
        </w:numPr>
        <w:bidi w:val="0"/>
        <w:jc w:val="both"/>
        <w:rPr>
          <w:color w:val="000000" w:themeColor="text1"/>
          <w:lang w:eastAsia="en-US"/>
        </w:rPr>
      </w:pPr>
      <w:r>
        <w:rPr>
          <w:color w:val="000000" w:themeColor="text1"/>
          <w:lang w:eastAsia="en-US"/>
        </w:rPr>
        <w:t xml:space="preserve">Health expenditure covered Palestine </w:t>
      </w:r>
      <w:r w:rsidRPr="00265EE1">
        <w:rPr>
          <w:color w:val="000000" w:themeColor="text1"/>
          <w:lang w:eastAsia="en-US"/>
        </w:rPr>
        <w:t xml:space="preserve">excluding </w:t>
      </w:r>
      <w:r w:rsidRPr="00165C4C">
        <w:rPr>
          <w:color w:val="000000" w:themeColor="text1"/>
          <w:lang w:eastAsia="en-US"/>
        </w:rPr>
        <w:t>those parts of Jerusalem</w:t>
      </w:r>
      <w:r>
        <w:rPr>
          <w:color w:val="000000" w:themeColor="text1"/>
          <w:lang w:eastAsia="en-US"/>
        </w:rPr>
        <w:t>,</w:t>
      </w:r>
      <w:r w:rsidRPr="00165C4C">
        <w:rPr>
          <w:color w:val="000000" w:themeColor="text1"/>
          <w:lang w:eastAsia="en-US"/>
        </w:rPr>
        <w:t xml:space="preserve"> annex</w:t>
      </w:r>
      <w:r>
        <w:rPr>
          <w:color w:val="000000" w:themeColor="text1"/>
          <w:lang w:eastAsia="en-US"/>
        </w:rPr>
        <w:t xml:space="preserve">ed by Israel in 1967 </w:t>
      </w:r>
      <w:r w:rsidRPr="00265EE1">
        <w:rPr>
          <w:color w:val="000000" w:themeColor="text1"/>
          <w:lang w:eastAsia="en-US"/>
        </w:rPr>
        <w:t>and Gaza Strip</w:t>
      </w:r>
      <w:r>
        <w:rPr>
          <w:color w:val="000000" w:themeColor="text1"/>
          <w:lang w:eastAsia="en-US"/>
        </w:rPr>
        <w:t xml:space="preserve"> due to the lack of detailed data from its sources</w:t>
      </w:r>
      <w:r w:rsidRPr="00265EE1">
        <w:rPr>
          <w:color w:val="000000" w:themeColor="text1"/>
          <w:lang w:eastAsia="en-US"/>
        </w:rPr>
        <w:t xml:space="preserve">. </w:t>
      </w:r>
    </w:p>
    <w:p w:rsidR="0087738B" w:rsidRDefault="0087738B" w:rsidP="0087738B">
      <w:pPr>
        <w:bidi w:val="0"/>
        <w:rPr>
          <w:color w:val="000000"/>
          <w:sz w:val="28"/>
          <w:szCs w:val="28"/>
          <w:lang w:val="en-GB"/>
        </w:rPr>
      </w:pPr>
    </w:p>
    <w:p w:rsidR="009839BC" w:rsidRDefault="009839BC" w:rsidP="009839BC">
      <w:pPr>
        <w:bidi w:val="0"/>
        <w:jc w:val="center"/>
        <w:rPr>
          <w:color w:val="000000"/>
          <w:sz w:val="28"/>
          <w:szCs w:val="28"/>
          <w:lang w:val="en-GB"/>
        </w:rPr>
      </w:pPr>
      <w:r>
        <w:rPr>
          <w:color w:val="000000"/>
          <w:sz w:val="28"/>
          <w:szCs w:val="28"/>
          <w:lang w:val="en-GB"/>
        </w:rPr>
        <w:br/>
      </w:r>
    </w:p>
    <w:p w:rsidR="00FF7DEF" w:rsidRPr="00AB0969" w:rsidRDefault="009839BC" w:rsidP="00FF7DEF">
      <w:pPr>
        <w:bidi w:val="0"/>
        <w:jc w:val="center"/>
        <w:rPr>
          <w:color w:val="000000"/>
          <w:rtl/>
          <w:lang w:val="en-GB"/>
        </w:rPr>
      </w:pPr>
      <w:r>
        <w:rPr>
          <w:color w:val="000000"/>
          <w:sz w:val="28"/>
          <w:szCs w:val="28"/>
          <w:lang w:val="en-GB"/>
        </w:rPr>
        <w:br w:type="page"/>
      </w:r>
      <w:r w:rsidR="00FF7DEF" w:rsidRPr="00AB0969">
        <w:rPr>
          <w:color w:val="000000"/>
        </w:rPr>
        <w:lastRenderedPageBreak/>
        <w:t>Chapter Three</w:t>
      </w:r>
    </w:p>
    <w:p w:rsidR="00FF7DEF" w:rsidRDefault="00FF7DEF" w:rsidP="00FF7DEF">
      <w:pPr>
        <w:bidi w:val="0"/>
        <w:rPr>
          <w:color w:val="000000"/>
          <w:rtl/>
          <w:lang w:val="en-GB"/>
        </w:rPr>
      </w:pPr>
    </w:p>
    <w:p w:rsidR="00FF7DEF" w:rsidRDefault="00FF7DEF" w:rsidP="00FF7DEF">
      <w:pPr>
        <w:pStyle w:val="Heading2"/>
        <w:bidi/>
        <w:rPr>
          <w:color w:val="000000"/>
          <w:rtl/>
          <w:lang w:val="en-GB"/>
        </w:rPr>
      </w:pPr>
      <w:r>
        <w:rPr>
          <w:color w:val="000000"/>
        </w:rPr>
        <w:t>Concepts and Definitions</w:t>
      </w:r>
    </w:p>
    <w:p w:rsidR="00FF7DEF" w:rsidRDefault="00FF7DEF" w:rsidP="00FF7DEF">
      <w:pPr>
        <w:rPr>
          <w:color w:val="000000"/>
          <w:rtl/>
          <w:lang w:val="en-GB"/>
        </w:rPr>
      </w:pPr>
    </w:p>
    <w:p w:rsidR="00FF7DEF" w:rsidRDefault="00FF7DEF" w:rsidP="00FF7DEF">
      <w:pPr>
        <w:bidi w:val="0"/>
        <w:ind w:left="-540" w:firstLine="540"/>
        <w:rPr>
          <w:b/>
          <w:bCs/>
          <w:color w:val="000000"/>
        </w:rPr>
      </w:pPr>
      <w:r>
        <w:rPr>
          <w:b/>
          <w:bCs/>
          <w:color w:val="000000"/>
        </w:rPr>
        <w:t xml:space="preserve">3.1 General Concepts </w:t>
      </w:r>
    </w:p>
    <w:p w:rsidR="00FF7DEF" w:rsidRPr="0098309D" w:rsidRDefault="00FF7DEF" w:rsidP="00FF7DEF">
      <w:pPr>
        <w:bidi w:val="0"/>
        <w:rPr>
          <w:b/>
          <w:bCs/>
          <w:color w:val="000000"/>
          <w:sz w:val="16"/>
          <w:szCs w:val="16"/>
        </w:rPr>
      </w:pPr>
    </w:p>
    <w:p w:rsidR="00FF7DEF" w:rsidRDefault="00FF7DEF" w:rsidP="00FF7DEF">
      <w:pPr>
        <w:bidi w:val="0"/>
        <w:rPr>
          <w:b/>
          <w:bCs/>
          <w:color w:val="000000"/>
        </w:rPr>
      </w:pPr>
      <w:r>
        <w:rPr>
          <w:b/>
          <w:bCs/>
          <w:color w:val="000000"/>
        </w:rPr>
        <w:t>Health Accounts:</w:t>
      </w:r>
    </w:p>
    <w:p w:rsidR="00FF7DEF" w:rsidRDefault="00FF7DEF" w:rsidP="00FF7DEF">
      <w:pPr>
        <w:bidi w:val="0"/>
        <w:jc w:val="both"/>
        <w:rPr>
          <w:color w:val="000000"/>
        </w:rPr>
      </w:pPr>
      <w:r>
        <w:rPr>
          <w:color w:val="000000"/>
        </w:rPr>
        <w:t xml:space="preserve">As a  tool to provide a systematic compilation of health expenditure,   it can trace back how much and where expenditure took place, what it was being spent on and for whom, how that changed over time and comparisons of such spending in countries with similar conditions.  It is an essential part of assessing the success of the health care system and of identifying opportunities for improvement.  </w:t>
      </w:r>
    </w:p>
    <w:p w:rsidR="00FF7DEF" w:rsidRPr="00C971E1" w:rsidRDefault="00FF7DEF" w:rsidP="00FF7DEF">
      <w:pPr>
        <w:bidi w:val="0"/>
        <w:ind w:left="-540"/>
        <w:jc w:val="both"/>
        <w:rPr>
          <w:b/>
          <w:bCs/>
          <w:color w:val="000000"/>
          <w:sz w:val="16"/>
          <w:szCs w:val="16"/>
          <w:u w:val="single"/>
        </w:rPr>
      </w:pPr>
    </w:p>
    <w:p w:rsidR="00FF7DEF" w:rsidRPr="006030FA" w:rsidRDefault="00FF7DEF" w:rsidP="00FF7DEF">
      <w:pPr>
        <w:bidi w:val="0"/>
        <w:jc w:val="both"/>
        <w:rPr>
          <w:b/>
          <w:bCs/>
          <w:color w:val="000000"/>
        </w:rPr>
      </w:pPr>
      <w:r w:rsidRPr="006030FA">
        <w:rPr>
          <w:b/>
          <w:bCs/>
          <w:color w:val="000000"/>
        </w:rPr>
        <w:t xml:space="preserve">Total </w:t>
      </w:r>
      <w:r>
        <w:rPr>
          <w:b/>
          <w:bCs/>
          <w:color w:val="000000"/>
        </w:rPr>
        <w:t>H</w:t>
      </w:r>
      <w:r w:rsidRPr="006030FA">
        <w:rPr>
          <w:b/>
          <w:bCs/>
          <w:color w:val="000000"/>
        </w:rPr>
        <w:t xml:space="preserve">ealth </w:t>
      </w:r>
      <w:r>
        <w:rPr>
          <w:b/>
          <w:bCs/>
          <w:color w:val="000000"/>
        </w:rPr>
        <w:t>E</w:t>
      </w:r>
      <w:r w:rsidRPr="006030FA">
        <w:rPr>
          <w:b/>
          <w:bCs/>
          <w:color w:val="000000"/>
        </w:rPr>
        <w:t>xpenditure</w:t>
      </w:r>
      <w:r>
        <w:rPr>
          <w:b/>
          <w:bCs/>
          <w:color w:val="000000"/>
        </w:rPr>
        <w:t>s (indicator)</w:t>
      </w:r>
      <w:r w:rsidRPr="006030FA">
        <w:rPr>
          <w:b/>
          <w:bCs/>
          <w:color w:val="000000"/>
        </w:rPr>
        <w:t>:</w:t>
      </w:r>
    </w:p>
    <w:p w:rsidR="00FF7DEF" w:rsidRPr="006030FA" w:rsidRDefault="00FF7DEF" w:rsidP="00FF7DEF">
      <w:pPr>
        <w:bidi w:val="0"/>
        <w:jc w:val="both"/>
        <w:rPr>
          <w:color w:val="000000"/>
        </w:rPr>
      </w:pPr>
      <w:r w:rsidRPr="006030FA">
        <w:rPr>
          <w:color w:val="000000"/>
        </w:rPr>
        <w:t>The value of outlays for the final consumption of goods and services defined as health goods and services and for the production of certain activities defined as health activities.  It includes two parts:</w:t>
      </w:r>
    </w:p>
    <w:p w:rsidR="00FF7DEF" w:rsidRPr="00C971E1" w:rsidRDefault="00FF7DEF" w:rsidP="00FF7DEF">
      <w:pPr>
        <w:bidi w:val="0"/>
        <w:ind w:right="71"/>
        <w:jc w:val="both"/>
        <w:rPr>
          <w:b/>
          <w:bCs/>
          <w:color w:val="000000"/>
          <w:sz w:val="16"/>
          <w:szCs w:val="16"/>
          <w:rtl/>
        </w:rPr>
      </w:pPr>
    </w:p>
    <w:p w:rsidR="00FF7DEF" w:rsidRDefault="00FF7DEF" w:rsidP="00FF7DEF">
      <w:pPr>
        <w:bidi w:val="0"/>
        <w:ind w:right="71"/>
        <w:jc w:val="both"/>
        <w:rPr>
          <w:color w:val="000000"/>
        </w:rPr>
      </w:pPr>
      <w:r w:rsidRPr="006030FA">
        <w:rPr>
          <w:b/>
          <w:bCs/>
          <w:color w:val="000000"/>
        </w:rPr>
        <w:t>Current expenditure:</w:t>
      </w:r>
      <w:r w:rsidRPr="006030FA">
        <w:rPr>
          <w:color w:val="000000"/>
        </w:rPr>
        <w:t xml:space="preserve"> </w:t>
      </w:r>
    </w:p>
    <w:p w:rsidR="00FF7DEF" w:rsidRPr="006030FA" w:rsidRDefault="00FF7DEF" w:rsidP="00FF7DEF">
      <w:pPr>
        <w:bidi w:val="0"/>
        <w:ind w:right="71"/>
        <w:jc w:val="both"/>
        <w:rPr>
          <w:color w:val="000000"/>
        </w:rPr>
      </w:pPr>
      <w:r w:rsidRPr="006030FA">
        <w:rPr>
          <w:color w:val="000000"/>
        </w:rPr>
        <w:t>Day to day spending, i.e. spending on recurring items</w:t>
      </w:r>
      <w:r>
        <w:rPr>
          <w:color w:val="000000"/>
        </w:rPr>
        <w:t>:</w:t>
      </w:r>
      <w:r w:rsidRPr="006030FA">
        <w:rPr>
          <w:color w:val="000000"/>
        </w:rPr>
        <w:t xml:space="preserve"> This includes salaries and wages that recur and spending on consumables and </w:t>
      </w:r>
      <w:r>
        <w:rPr>
          <w:color w:val="000000"/>
        </w:rPr>
        <w:t>daily</w:t>
      </w:r>
      <w:r w:rsidRPr="006030FA">
        <w:rPr>
          <w:color w:val="000000"/>
        </w:rPr>
        <w:t xml:space="preserve"> items that </w:t>
      </w:r>
      <w:r>
        <w:rPr>
          <w:color w:val="000000"/>
        </w:rPr>
        <w:t>are</w:t>
      </w:r>
      <w:r w:rsidRPr="006030FA">
        <w:rPr>
          <w:color w:val="000000"/>
        </w:rPr>
        <w:t xml:space="preserve"> used up as provided good</w:t>
      </w:r>
      <w:r>
        <w:rPr>
          <w:color w:val="000000"/>
        </w:rPr>
        <w:t>s</w:t>
      </w:r>
      <w:r w:rsidRPr="006030FA">
        <w:rPr>
          <w:color w:val="000000"/>
        </w:rPr>
        <w:t xml:space="preserve"> or service</w:t>
      </w:r>
      <w:r>
        <w:rPr>
          <w:color w:val="000000"/>
        </w:rPr>
        <w:t>s</w:t>
      </w:r>
      <w:r w:rsidRPr="006030FA">
        <w:rPr>
          <w:color w:val="000000"/>
        </w:rPr>
        <w:t>.</w:t>
      </w:r>
      <w:r>
        <w:rPr>
          <w:rFonts w:hint="cs"/>
          <w:color w:val="000000"/>
          <w:rtl/>
        </w:rPr>
        <w:t xml:space="preserve"> </w:t>
      </w:r>
    </w:p>
    <w:p w:rsidR="00FF7DEF" w:rsidRPr="00C971E1" w:rsidRDefault="00FF7DEF" w:rsidP="00FF7DEF">
      <w:pPr>
        <w:tabs>
          <w:tab w:val="num" w:pos="0"/>
        </w:tabs>
        <w:bidi w:val="0"/>
        <w:rPr>
          <w:b/>
          <w:bCs/>
          <w:color w:val="000000"/>
          <w:sz w:val="16"/>
          <w:szCs w:val="16"/>
        </w:rPr>
      </w:pPr>
    </w:p>
    <w:p w:rsidR="00FF7DEF" w:rsidRDefault="00FF7DEF" w:rsidP="00FF7DEF">
      <w:pPr>
        <w:bidi w:val="0"/>
        <w:ind w:right="71"/>
        <w:jc w:val="both"/>
        <w:rPr>
          <w:color w:val="000000"/>
        </w:rPr>
      </w:pPr>
      <w:r w:rsidRPr="006030FA">
        <w:rPr>
          <w:b/>
          <w:bCs/>
          <w:color w:val="000000"/>
        </w:rPr>
        <w:t>Capital:</w:t>
      </w:r>
      <w:r w:rsidRPr="006030FA">
        <w:rPr>
          <w:color w:val="000000"/>
        </w:rPr>
        <w:t xml:space="preserve"> </w:t>
      </w:r>
    </w:p>
    <w:p w:rsidR="00FF7DEF" w:rsidRPr="006030FA" w:rsidRDefault="00FF7DEF" w:rsidP="00FF7DEF">
      <w:pPr>
        <w:bidi w:val="0"/>
        <w:ind w:right="71"/>
        <w:jc w:val="both"/>
        <w:rPr>
          <w:color w:val="000000"/>
        </w:rPr>
      </w:pPr>
      <w:r w:rsidRPr="006030FA">
        <w:rPr>
          <w:color w:val="000000"/>
        </w:rPr>
        <w:t xml:space="preserve">In health accounting, capital usually refers to physical assets (land, buildings and equipment) owned by or available to the entity in question. Less frequently in health accounting, it </w:t>
      </w:r>
      <w:r>
        <w:rPr>
          <w:color w:val="000000"/>
        </w:rPr>
        <w:t>could</w:t>
      </w:r>
      <w:r w:rsidRPr="006030FA">
        <w:rPr>
          <w:color w:val="000000"/>
        </w:rPr>
        <w:t xml:space="preserve"> also refer to the financial assets available to the entity, but in such cases that is made specific.  Capital can be measured at its “book value” (it cost at the time of its creation) or at its replacement value (the current cost of replacing it). It </w:t>
      </w:r>
      <w:r>
        <w:rPr>
          <w:color w:val="000000"/>
        </w:rPr>
        <w:t>could</w:t>
      </w:r>
      <w:r w:rsidRPr="006030FA">
        <w:rPr>
          <w:color w:val="000000"/>
        </w:rPr>
        <w:t xml:space="preserve"> also be measured either gross (its original value) or net (taking into account wear and tear and its obsolescence).</w:t>
      </w:r>
    </w:p>
    <w:p w:rsidR="00FF7DEF" w:rsidRPr="00C971E1" w:rsidRDefault="00FF7DEF" w:rsidP="00FF7DEF">
      <w:pPr>
        <w:tabs>
          <w:tab w:val="num" w:pos="0"/>
        </w:tabs>
        <w:bidi w:val="0"/>
        <w:ind w:left="180" w:hanging="180"/>
        <w:rPr>
          <w:b/>
          <w:bCs/>
          <w:color w:val="000000"/>
          <w:sz w:val="16"/>
          <w:szCs w:val="16"/>
        </w:rPr>
      </w:pPr>
    </w:p>
    <w:p w:rsidR="00FF7DEF" w:rsidRPr="006030FA" w:rsidRDefault="00FF7DEF" w:rsidP="00FF7DEF">
      <w:pPr>
        <w:bidi w:val="0"/>
        <w:ind w:right="71"/>
        <w:jc w:val="both"/>
        <w:rPr>
          <w:color w:val="000000"/>
        </w:rPr>
      </w:pPr>
      <w:r w:rsidRPr="00EC3EFE">
        <w:rPr>
          <w:b/>
          <w:bCs/>
          <w:color w:val="000000"/>
        </w:rPr>
        <w:t xml:space="preserve">Where, </w:t>
      </w:r>
      <w:r>
        <w:rPr>
          <w:color w:val="000000"/>
        </w:rPr>
        <w:t>spending is</w:t>
      </w:r>
      <w:r w:rsidRPr="006030FA">
        <w:rPr>
          <w:color w:val="000000"/>
        </w:rPr>
        <w:t xml:space="preserve"> defined as the value of the </w:t>
      </w:r>
      <w:r>
        <w:rPr>
          <w:color w:val="000000"/>
        </w:rPr>
        <w:t>sum</w:t>
      </w:r>
      <w:r w:rsidRPr="006030FA">
        <w:rPr>
          <w:color w:val="000000"/>
        </w:rPr>
        <w:t xml:space="preserve"> that buyers pay, or agree to pay, to sellers in exchange for goods and services that sellers provide to them or to other institutional units designated by the buyers. The buyer incurring the liability to pay need not be the same unit that takes possession of the good or service. In health accounting, expenditure for goods and services provided by market producers is measured in terms of the payments they receive for their sales; expenditures in the non-market part of the health system are measured in terms of the goods and services used to produce the health care or related activity.</w:t>
      </w:r>
    </w:p>
    <w:p w:rsidR="00FF7DEF" w:rsidRPr="00C971E1" w:rsidRDefault="00FF7DEF" w:rsidP="00FF7DEF">
      <w:pPr>
        <w:bidi w:val="0"/>
        <w:ind w:left="720"/>
        <w:jc w:val="both"/>
        <w:rPr>
          <w:b/>
          <w:bCs/>
          <w:color w:val="000000"/>
          <w:sz w:val="16"/>
          <w:szCs w:val="16"/>
        </w:rPr>
      </w:pPr>
    </w:p>
    <w:p w:rsidR="00FF7DEF" w:rsidRDefault="00FF7DEF" w:rsidP="00FF7DEF">
      <w:pPr>
        <w:bidi w:val="0"/>
        <w:ind w:left="-540" w:firstLine="540"/>
        <w:jc w:val="both"/>
        <w:rPr>
          <w:b/>
          <w:bCs/>
          <w:color w:val="000000"/>
        </w:rPr>
      </w:pPr>
      <w:r>
        <w:rPr>
          <w:b/>
          <w:bCs/>
          <w:color w:val="000000"/>
        </w:rPr>
        <w:t>Health Care:</w:t>
      </w:r>
    </w:p>
    <w:p w:rsidR="00FF7DEF" w:rsidRDefault="00FF7DEF" w:rsidP="00FF7DEF">
      <w:pPr>
        <w:tabs>
          <w:tab w:val="left" w:pos="5952"/>
          <w:tab w:val="left" w:pos="8787"/>
        </w:tabs>
        <w:bidi w:val="0"/>
        <w:ind w:left="58" w:right="187"/>
        <w:jc w:val="both"/>
        <w:rPr>
          <w:color w:val="000000"/>
        </w:rPr>
      </w:pPr>
      <w:r w:rsidRPr="000E54C7">
        <w:rPr>
          <w:color w:val="000000"/>
        </w:rPr>
        <w:t xml:space="preserve">The sum of </w:t>
      </w:r>
      <w:r>
        <w:rPr>
          <w:color w:val="000000"/>
        </w:rPr>
        <w:t xml:space="preserve">activities performed either by institutions or individuals pursuing the application of medical, paramedical and nursing knowledge and technology, </w:t>
      </w:r>
      <w:r w:rsidRPr="002B3DC9">
        <w:rPr>
          <w:color w:val="000000"/>
        </w:rPr>
        <w:t>dental,</w:t>
      </w:r>
      <w:r>
        <w:rPr>
          <w:color w:val="000000"/>
        </w:rPr>
        <w:t xml:space="preserve"> </w:t>
      </w:r>
      <w:r w:rsidRPr="002B3DC9">
        <w:rPr>
          <w:color w:val="000000"/>
        </w:rPr>
        <w:t>complementary and alternative services</w:t>
      </w:r>
      <w:r>
        <w:rPr>
          <w:color w:val="000000"/>
        </w:rPr>
        <w:t xml:space="preserve">, </w:t>
      </w:r>
      <w:r w:rsidRPr="002B3DC9">
        <w:rPr>
          <w:color w:val="000000"/>
        </w:rPr>
        <w:t xml:space="preserve">pharmaceutical, and clinical sciences (in vitro diagnostics), nursing, health professions. </w:t>
      </w:r>
      <w:r>
        <w:rPr>
          <w:color w:val="000000"/>
        </w:rPr>
        <w:t xml:space="preserve"> Health care covers</w:t>
      </w:r>
      <w:r w:rsidRPr="002B3DC9">
        <w:rPr>
          <w:color w:val="000000"/>
        </w:rPr>
        <w:t xml:space="preserve"> all health care goods and services to promote health.</w:t>
      </w:r>
    </w:p>
    <w:p w:rsidR="00FF7DEF" w:rsidRPr="00C971E1" w:rsidRDefault="00FF7DEF" w:rsidP="00FF7DEF">
      <w:pPr>
        <w:bidi w:val="0"/>
        <w:ind w:left="-540" w:firstLine="540"/>
        <w:rPr>
          <w:color w:val="000000"/>
          <w:sz w:val="16"/>
          <w:szCs w:val="16"/>
        </w:rPr>
      </w:pPr>
    </w:p>
    <w:p w:rsidR="00FF7DEF" w:rsidRDefault="00FF7DEF" w:rsidP="00FF7DEF">
      <w:pPr>
        <w:bidi w:val="0"/>
        <w:ind w:left="-540" w:firstLine="540"/>
        <w:rPr>
          <w:b/>
          <w:bCs/>
          <w:color w:val="000000"/>
        </w:rPr>
      </w:pPr>
      <w:r>
        <w:rPr>
          <w:b/>
          <w:bCs/>
          <w:color w:val="000000"/>
        </w:rPr>
        <w:t>Government Sector:</w:t>
      </w:r>
    </w:p>
    <w:p w:rsidR="00FF7DEF" w:rsidRDefault="00FF7DEF" w:rsidP="00FF7DEF">
      <w:pPr>
        <w:bidi w:val="0"/>
        <w:jc w:val="both"/>
        <w:rPr>
          <w:color w:val="000000"/>
        </w:rPr>
      </w:pPr>
      <w:r>
        <w:rPr>
          <w:color w:val="000000"/>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FF7DEF" w:rsidRPr="0083324D" w:rsidRDefault="00FF7DEF" w:rsidP="00FF7DEF">
      <w:pPr>
        <w:bidi w:val="0"/>
        <w:ind w:left="-540"/>
        <w:rPr>
          <w:b/>
          <w:bCs/>
          <w:color w:val="000000"/>
          <w:sz w:val="18"/>
          <w:szCs w:val="18"/>
        </w:rPr>
      </w:pPr>
    </w:p>
    <w:p w:rsidR="0098309D" w:rsidRDefault="0098309D">
      <w:pPr>
        <w:bidi w:val="0"/>
        <w:spacing w:after="200" w:line="276" w:lineRule="auto"/>
        <w:rPr>
          <w:b/>
          <w:bCs/>
          <w:color w:val="000000"/>
        </w:rPr>
      </w:pPr>
      <w:r>
        <w:rPr>
          <w:b/>
          <w:bCs/>
          <w:color w:val="000000"/>
        </w:rPr>
        <w:br w:type="page"/>
      </w:r>
    </w:p>
    <w:p w:rsidR="00FF7DEF" w:rsidRDefault="00FF7DEF" w:rsidP="00FF7DEF">
      <w:pPr>
        <w:bidi w:val="0"/>
        <w:ind w:left="-540" w:firstLine="540"/>
        <w:rPr>
          <w:b/>
          <w:bCs/>
          <w:color w:val="000000"/>
        </w:rPr>
      </w:pPr>
      <w:r>
        <w:rPr>
          <w:b/>
          <w:bCs/>
          <w:color w:val="000000"/>
        </w:rPr>
        <w:lastRenderedPageBreak/>
        <w:t>Non-profit Institution Serving Households (NPISH):</w:t>
      </w:r>
    </w:p>
    <w:p w:rsidR="00FF7DEF" w:rsidRDefault="00FF7DEF" w:rsidP="00FF7DEF">
      <w:pPr>
        <w:bidi w:val="0"/>
        <w:jc w:val="both"/>
        <w:rPr>
          <w:color w:val="000000"/>
        </w:rPr>
      </w:pPr>
      <w:r>
        <w:rPr>
          <w:color w:val="000000"/>
        </w:rPr>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 mainly of trade unions, professional unions, churches, charities and privately financed aid organizations.</w:t>
      </w:r>
    </w:p>
    <w:p w:rsidR="00FF7DEF" w:rsidRPr="00F93F69" w:rsidRDefault="00FF7DEF" w:rsidP="00FF7DEF">
      <w:pPr>
        <w:bidi w:val="0"/>
        <w:rPr>
          <w:b/>
          <w:bCs/>
          <w:color w:val="000000"/>
          <w:sz w:val="18"/>
          <w:szCs w:val="18"/>
        </w:rPr>
      </w:pPr>
    </w:p>
    <w:p w:rsidR="00FF7DEF" w:rsidRDefault="00FF7DEF" w:rsidP="00FF7DEF">
      <w:pPr>
        <w:bidi w:val="0"/>
        <w:jc w:val="both"/>
        <w:rPr>
          <w:b/>
          <w:bCs/>
          <w:color w:val="000000"/>
        </w:rPr>
      </w:pPr>
      <w:r>
        <w:rPr>
          <w:b/>
          <w:bCs/>
          <w:color w:val="000000"/>
        </w:rPr>
        <w:t>Resident:</w:t>
      </w:r>
    </w:p>
    <w:p w:rsidR="00FF7DEF" w:rsidRDefault="00FF7DEF" w:rsidP="00FF7DEF">
      <w:pPr>
        <w:bidi w:val="0"/>
        <w:jc w:val="both"/>
        <w:rPr>
          <w:color w:val="000000"/>
        </w:rPr>
      </w:pPr>
      <w:r>
        <w:rPr>
          <w:color w:val="000000"/>
        </w:rPr>
        <w:t xml:space="preserve">Persons and establishments are considered residents of the economy wherein their center of economic interest lies; this means that they will undertake a considerable part of their economic activities there. </w:t>
      </w:r>
      <w:r w:rsidRPr="00F46DD3">
        <w:rPr>
          <w:color w:val="000000"/>
        </w:rPr>
        <w:t>I</w:t>
      </w:r>
      <w:r>
        <w:rPr>
          <w:color w:val="000000"/>
        </w:rPr>
        <w:t>t i</w:t>
      </w:r>
      <w:r w:rsidRPr="00F46DD3">
        <w:rPr>
          <w:color w:val="000000"/>
        </w:rPr>
        <w:t xml:space="preserve">s defined in economic and not legal terms.  The main criterion to determine residence of an entity is </w:t>
      </w:r>
      <w:r>
        <w:rPr>
          <w:color w:val="000000"/>
        </w:rPr>
        <w:t xml:space="preserve">its </w:t>
      </w:r>
      <w:r w:rsidRPr="00F46DD3">
        <w:rPr>
          <w:color w:val="000000"/>
        </w:rPr>
        <w:t>cent</w:t>
      </w:r>
      <w:r>
        <w:rPr>
          <w:color w:val="000000"/>
        </w:rPr>
        <w:t>e</w:t>
      </w:r>
      <w:r w:rsidRPr="00F46DD3">
        <w:rPr>
          <w:color w:val="000000"/>
        </w:rPr>
        <w:t xml:space="preserve">r of economic interest.  Persons are considered residents of the country where they live for at least one year.  </w:t>
      </w:r>
      <w:r>
        <w:rPr>
          <w:color w:val="000000"/>
        </w:rPr>
        <w:t xml:space="preserve">Exceptions to this rule are students, medical </w:t>
      </w:r>
      <w:r w:rsidRPr="00DF3616">
        <w:rPr>
          <w:color w:val="000000"/>
        </w:rPr>
        <w:t>patients and non-natives of the resident economy employed at foreign (to the resident</w:t>
      </w:r>
      <w:r>
        <w:rPr>
          <w:color w:val="000000"/>
        </w:rPr>
        <w:t xml:space="preserve"> economy) embassies, diplomatic missions and military establishments.  These three categories are considered non-residents of the economy in which they live and are residents of their country of origin, irrespective of length of stay. This does not apply to l</w:t>
      </w:r>
      <w:r w:rsidRPr="00F46DD3">
        <w:rPr>
          <w:color w:val="000000"/>
        </w:rPr>
        <w:t>ocally employed people</w:t>
      </w:r>
      <w:r>
        <w:rPr>
          <w:color w:val="000000"/>
        </w:rPr>
        <w:t xml:space="preserve"> in these institutions</w:t>
      </w:r>
      <w:r w:rsidRPr="00F46DD3">
        <w:rPr>
          <w:color w:val="000000"/>
        </w:rPr>
        <w:t xml:space="preserve"> who are residents of the country where they live.</w:t>
      </w:r>
    </w:p>
    <w:p w:rsidR="00FF7DEF" w:rsidRPr="0098309D" w:rsidRDefault="00FF7DEF" w:rsidP="00FF7DEF">
      <w:pPr>
        <w:bidi w:val="0"/>
        <w:jc w:val="both"/>
        <w:rPr>
          <w:color w:val="000000"/>
          <w:sz w:val="18"/>
          <w:szCs w:val="18"/>
        </w:rPr>
      </w:pPr>
    </w:p>
    <w:p w:rsidR="00FF7DEF" w:rsidRDefault="00FF7DEF" w:rsidP="00FF7DEF">
      <w:pPr>
        <w:bidi w:val="0"/>
        <w:jc w:val="both"/>
        <w:rPr>
          <w:color w:val="000000"/>
        </w:rPr>
      </w:pPr>
      <w:r>
        <w:rPr>
          <w:color w:val="000000"/>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FF7DEF" w:rsidRPr="00C971E1" w:rsidRDefault="00FF7DEF" w:rsidP="00FF7DEF">
      <w:pPr>
        <w:bidi w:val="0"/>
        <w:ind w:left="-540"/>
        <w:rPr>
          <w:b/>
          <w:bCs/>
          <w:color w:val="000000"/>
          <w:sz w:val="16"/>
          <w:szCs w:val="16"/>
        </w:rPr>
      </w:pPr>
    </w:p>
    <w:p w:rsidR="00FF7DEF" w:rsidRDefault="00FF7DEF" w:rsidP="00FF7DEF">
      <w:pPr>
        <w:bidi w:val="0"/>
        <w:jc w:val="both"/>
        <w:rPr>
          <w:b/>
          <w:bCs/>
          <w:color w:val="000000"/>
        </w:rPr>
      </w:pPr>
      <w:r>
        <w:rPr>
          <w:b/>
          <w:bCs/>
          <w:color w:val="000000"/>
        </w:rPr>
        <w:t>Primary Health Care:</w:t>
      </w:r>
    </w:p>
    <w:p w:rsidR="00FF7DEF" w:rsidRDefault="00FF7DEF" w:rsidP="00FF7DEF">
      <w:pPr>
        <w:bidi w:val="0"/>
        <w:jc w:val="both"/>
        <w:rPr>
          <w:color w:val="000000"/>
        </w:rPr>
      </w:pPr>
      <w:r>
        <w:rPr>
          <w:color w:val="000000"/>
        </w:rPr>
        <w:t>This comprises f</w:t>
      </w:r>
      <w:r w:rsidRPr="00BC3BB8">
        <w:rPr>
          <w:color w:val="000000"/>
        </w:rPr>
        <w:t>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r>
        <w:rPr>
          <w:color w:val="000000"/>
        </w:rPr>
        <w:t>.</w:t>
      </w:r>
    </w:p>
    <w:p w:rsidR="00FF7DEF" w:rsidRPr="00C971E1" w:rsidRDefault="00FF7DEF" w:rsidP="00FF7DEF">
      <w:pPr>
        <w:bidi w:val="0"/>
        <w:ind w:left="-540"/>
        <w:rPr>
          <w:b/>
          <w:bCs/>
          <w:color w:val="000000"/>
          <w:sz w:val="16"/>
          <w:szCs w:val="16"/>
        </w:rPr>
      </w:pPr>
    </w:p>
    <w:p w:rsidR="00FF7DEF" w:rsidRDefault="00FF7DEF" w:rsidP="00FF7DEF">
      <w:pPr>
        <w:bidi w:val="0"/>
        <w:ind w:left="-540" w:firstLine="540"/>
        <w:rPr>
          <w:b/>
          <w:bCs/>
          <w:color w:val="000000"/>
        </w:rPr>
      </w:pPr>
      <w:r>
        <w:rPr>
          <w:b/>
          <w:bCs/>
          <w:color w:val="000000"/>
        </w:rPr>
        <w:t>Secondary Care Institutions:</w:t>
      </w:r>
    </w:p>
    <w:p w:rsidR="00FF7DEF" w:rsidRDefault="00FF7DEF" w:rsidP="00FF7DEF">
      <w:pPr>
        <w:bidi w:val="0"/>
        <w:jc w:val="both"/>
        <w:textAlignment w:val="top"/>
        <w:rPr>
          <w:color w:val="000000"/>
        </w:rPr>
      </w:pPr>
      <w:r>
        <w:rPr>
          <w:color w:val="000000"/>
        </w:rPr>
        <w:t>The institutions providing specialized health care recommended by primary health care providers or in emergency cases.</w:t>
      </w:r>
    </w:p>
    <w:p w:rsidR="00FF7DEF" w:rsidRPr="00C971E1" w:rsidRDefault="00FF7DEF" w:rsidP="00FF7DEF">
      <w:pPr>
        <w:bidi w:val="0"/>
        <w:ind w:left="-540"/>
        <w:rPr>
          <w:b/>
          <w:bCs/>
          <w:color w:val="000000"/>
          <w:sz w:val="16"/>
          <w:szCs w:val="16"/>
        </w:rPr>
      </w:pPr>
    </w:p>
    <w:p w:rsidR="00FF7DEF" w:rsidRDefault="00FF7DEF" w:rsidP="00FF7DEF">
      <w:pPr>
        <w:bidi w:val="0"/>
        <w:ind w:left="-540" w:firstLine="540"/>
        <w:rPr>
          <w:b/>
          <w:bCs/>
          <w:color w:val="000000"/>
        </w:rPr>
      </w:pPr>
      <w:r>
        <w:rPr>
          <w:b/>
          <w:bCs/>
          <w:color w:val="000000"/>
          <w:lang w:eastAsia="en-US" w:bidi="ar-JO"/>
        </w:rPr>
        <w:t>Tertiary Health Care:</w:t>
      </w:r>
    </w:p>
    <w:p w:rsidR="00FF7DEF" w:rsidRDefault="00FF7DEF" w:rsidP="00FF7DEF">
      <w:pPr>
        <w:bidi w:val="0"/>
        <w:jc w:val="both"/>
        <w:rPr>
          <w:color w:val="000000"/>
        </w:rPr>
      </w:pPr>
      <w:r>
        <w:rPr>
          <w:color w:val="000000"/>
        </w:rPr>
        <w:t xml:space="preserve">This includes specialized consultative care, usually on </w:t>
      </w:r>
      <w:hyperlink r:id="rId12" w:tooltip="Referral (medicine)" w:history="1">
        <w:r>
          <w:t>referral</w:t>
        </w:r>
      </w:hyperlink>
      <w:r>
        <w:rPr>
          <w:color w:val="000000"/>
        </w:rPr>
        <w:t xml:space="preserve"> from </w:t>
      </w:r>
      <w:hyperlink r:id="rId13" w:tooltip="Primary care" w:history="1">
        <w:r>
          <w:t>primary</w:t>
        </w:r>
      </w:hyperlink>
      <w:r>
        <w:rPr>
          <w:color w:val="000000"/>
        </w:rPr>
        <w:t xml:space="preserve"> health or </w:t>
      </w:r>
      <w:hyperlink r:id="rId14" w:tooltip="Secondary care" w:history="1">
        <w:r>
          <w:t>secondary medical care</w:t>
        </w:r>
      </w:hyperlink>
      <w:r>
        <w:rPr>
          <w:color w:val="000000"/>
        </w:rPr>
        <w:t xml:space="preserve"> personnel, by specialists working in a center that has personnel and facilities for special examination and treatment.</w:t>
      </w:r>
    </w:p>
    <w:p w:rsidR="00FF7DEF" w:rsidRPr="00C971E1" w:rsidRDefault="00FF7DEF" w:rsidP="00FF7DEF">
      <w:pPr>
        <w:bidi w:val="0"/>
        <w:jc w:val="both"/>
        <w:rPr>
          <w:color w:val="000000"/>
          <w:sz w:val="16"/>
          <w:szCs w:val="16"/>
        </w:rPr>
      </w:pPr>
    </w:p>
    <w:p w:rsidR="00FF7DEF" w:rsidRDefault="00FF7DEF" w:rsidP="00FF7DEF">
      <w:pPr>
        <w:bidi w:val="0"/>
        <w:rPr>
          <w:b/>
          <w:bCs/>
          <w:color w:val="000000"/>
        </w:rPr>
      </w:pPr>
      <w:r>
        <w:rPr>
          <w:b/>
          <w:bCs/>
          <w:color w:val="000000"/>
        </w:rPr>
        <w:t xml:space="preserve">Rehabilitation Center: </w:t>
      </w:r>
    </w:p>
    <w:p w:rsidR="00FF7DEF" w:rsidRDefault="00FF7DEF" w:rsidP="00FF7DEF">
      <w:pPr>
        <w:bidi w:val="0"/>
        <w:jc w:val="both"/>
        <w:rPr>
          <w:color w:val="000000"/>
        </w:rPr>
      </w:pPr>
      <w:r>
        <w:rPr>
          <w:color w:val="000000"/>
        </w:rPr>
        <w:t xml:space="preserve"> It is a facility  which provides therapy and training for rehabilitation.  Such centers may offer occupational therapy,  physiotherapy, vocational training, and other kinds of special training such as speech therapy for recovery from injury</w:t>
      </w:r>
      <w:r>
        <w:rPr>
          <w:color w:val="000000"/>
          <w:rtl/>
          <w:lang w:val="en-GB"/>
        </w:rPr>
        <w:t xml:space="preserve"> </w:t>
      </w:r>
      <w:r>
        <w:rPr>
          <w:color w:val="000000"/>
        </w:rPr>
        <w:t xml:space="preserve">or illness to resume normal function where possible. </w:t>
      </w:r>
    </w:p>
    <w:p w:rsidR="00FF7DEF" w:rsidRPr="00C971E1" w:rsidRDefault="00FF7DEF" w:rsidP="00FF7DEF">
      <w:pPr>
        <w:bidi w:val="0"/>
        <w:rPr>
          <w:b/>
          <w:bCs/>
          <w:color w:val="000000"/>
          <w:sz w:val="16"/>
          <w:szCs w:val="16"/>
        </w:rPr>
      </w:pPr>
    </w:p>
    <w:p w:rsidR="00FF7DEF" w:rsidRDefault="00FF7DEF" w:rsidP="00FF7DEF">
      <w:pPr>
        <w:bidi w:val="0"/>
        <w:rPr>
          <w:b/>
          <w:bCs/>
          <w:color w:val="000000"/>
        </w:rPr>
      </w:pPr>
      <w:r>
        <w:rPr>
          <w:b/>
          <w:bCs/>
          <w:color w:val="000000"/>
        </w:rPr>
        <w:t>Household:</w:t>
      </w:r>
    </w:p>
    <w:p w:rsidR="00FF7DEF" w:rsidRDefault="00FF7DEF" w:rsidP="00FF7DEF">
      <w:pPr>
        <w:bidi w:val="0"/>
        <w:jc w:val="both"/>
        <w:rPr>
          <w:color w:val="000000"/>
        </w:rPr>
      </w:pPr>
      <w:r>
        <w:rPr>
          <w:color w:val="000000"/>
        </w:rPr>
        <w:t>One person or group of persons with or without a family relationship who live in the same dwelling unit, share meals and make joint provisions for food and other essentials of living.</w:t>
      </w:r>
    </w:p>
    <w:p w:rsidR="00FF7DEF" w:rsidRPr="00C971E1" w:rsidRDefault="00FF7DEF" w:rsidP="00FF7DEF">
      <w:pPr>
        <w:bidi w:val="0"/>
        <w:ind w:left="-540"/>
        <w:rPr>
          <w:b/>
          <w:bCs/>
          <w:color w:val="000000"/>
          <w:sz w:val="16"/>
          <w:szCs w:val="16"/>
        </w:rPr>
      </w:pPr>
    </w:p>
    <w:p w:rsidR="00FF7DEF" w:rsidRDefault="00FF7DEF" w:rsidP="00FF7DEF">
      <w:pPr>
        <w:bidi w:val="0"/>
        <w:ind w:left="-540" w:firstLine="540"/>
        <w:rPr>
          <w:b/>
          <w:bCs/>
          <w:color w:val="000000"/>
        </w:rPr>
      </w:pPr>
      <w:r>
        <w:rPr>
          <w:b/>
          <w:bCs/>
          <w:color w:val="000000"/>
        </w:rPr>
        <w:t>Accrual Basis:</w:t>
      </w:r>
    </w:p>
    <w:p w:rsidR="00FF7DEF" w:rsidRDefault="00FF7DEF" w:rsidP="00FF7DEF">
      <w:pPr>
        <w:bidi w:val="0"/>
        <w:jc w:val="both"/>
        <w:rPr>
          <w:color w:val="000000"/>
        </w:rPr>
      </w:pPr>
      <w:r>
        <w:rPr>
          <w:color w:val="000000"/>
        </w:rPr>
        <w:t xml:space="preserve">The accrual accounting record flows at the time economic value is created, transformed, exchanged, transferred or extinguished.  This means that the flows which imply a change of </w:t>
      </w:r>
      <w:r>
        <w:rPr>
          <w:color w:val="000000"/>
        </w:rPr>
        <w:lastRenderedPageBreak/>
        <w:t>ownership are entered when ownership passes, services are recorded when provided, output at the time products are created, and intermediate consumption when materials and supplies are being used.</w:t>
      </w:r>
    </w:p>
    <w:p w:rsidR="00FF7DEF" w:rsidRPr="00C971E1" w:rsidRDefault="00FF7DEF" w:rsidP="00FF7DEF">
      <w:pPr>
        <w:bidi w:val="0"/>
        <w:rPr>
          <w:b/>
          <w:bCs/>
          <w:color w:val="000000"/>
          <w:sz w:val="16"/>
          <w:szCs w:val="16"/>
        </w:rPr>
      </w:pPr>
    </w:p>
    <w:p w:rsidR="00FF7DEF" w:rsidRDefault="00FF7DEF" w:rsidP="00FF7DEF">
      <w:pPr>
        <w:bidi w:val="0"/>
        <w:ind w:left="-540" w:firstLine="540"/>
        <w:rPr>
          <w:b/>
          <w:bCs/>
          <w:color w:val="000000"/>
        </w:rPr>
      </w:pPr>
      <w:r>
        <w:rPr>
          <w:b/>
          <w:bCs/>
          <w:color w:val="000000"/>
        </w:rPr>
        <w:t>Health Insurance:</w:t>
      </w:r>
    </w:p>
    <w:p w:rsidR="00FF7DEF" w:rsidRDefault="00FF7DEF" w:rsidP="00FF7DEF">
      <w:pPr>
        <w:bidi w:val="0"/>
        <w:jc w:val="both"/>
      </w:pPr>
      <w:r>
        <w:t>A contract between the insured and the insurer to the effect that in the event of specified events occurring (determined in the insurance contract), the insurer will pay compensation either to the insured person or to the health service provider. Health insurance includes governmental, private, military, UNRWA and Israeli insurance.</w:t>
      </w:r>
    </w:p>
    <w:p w:rsidR="00FF7DEF" w:rsidRPr="00C971E1" w:rsidRDefault="00FF7DEF" w:rsidP="00FF7DEF">
      <w:pPr>
        <w:bidi w:val="0"/>
        <w:rPr>
          <w:sz w:val="16"/>
          <w:szCs w:val="16"/>
        </w:rPr>
      </w:pP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Based on the OECD classifications the detailed categories (providers, functions, and health financing) in the health accounts are listed below. More detailed information is available in the OECD's manual entitled </w:t>
      </w:r>
      <w:r>
        <w:rPr>
          <w:rFonts w:ascii="Times New Roman" w:hAnsi="Times New Roman" w:cs="Times New Roman"/>
          <w:color w:val="000000"/>
          <w:lang w:val="en-GB"/>
        </w:rPr>
        <w:t>“</w:t>
      </w:r>
      <w:r>
        <w:rPr>
          <w:rFonts w:ascii="Times New Roman" w:hAnsi="Times New Roman" w:cs="Times New Roman"/>
          <w:color w:val="000000"/>
        </w:rPr>
        <w:t>A System of Health Accounts</w:t>
      </w:r>
      <w:r>
        <w:rPr>
          <w:rFonts w:ascii="Times New Roman" w:hAnsi="Times New Roman" w:cs="Times New Roman"/>
          <w:color w:val="000000"/>
          <w:lang w:val="en-GB"/>
        </w:rPr>
        <w:t>”</w:t>
      </w:r>
      <w:r>
        <w:rPr>
          <w:rFonts w:ascii="Times New Roman" w:hAnsi="Times New Roman" w:cs="Times New Roman"/>
          <w:color w:val="000000"/>
        </w:rPr>
        <w:t>:</w:t>
      </w:r>
    </w:p>
    <w:p w:rsidR="00FF7DEF" w:rsidRPr="00F93F69" w:rsidRDefault="00FF7DEF" w:rsidP="00FF7DEF">
      <w:pPr>
        <w:bidi w:val="0"/>
        <w:rPr>
          <w:sz w:val="22"/>
          <w:szCs w:val="22"/>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3.2 Classification of Functions of Health Care</w:t>
      </w:r>
    </w:p>
    <w:p w:rsidR="00FF7DEF" w:rsidRPr="00845089" w:rsidRDefault="00FF7DEF" w:rsidP="00FF7DEF">
      <w:pPr>
        <w:pStyle w:val="NormalWeb"/>
        <w:spacing w:before="0" w:beforeAutospacing="0" w:after="0" w:afterAutospacing="0"/>
        <w:ind w:left="-540" w:firstLine="720"/>
        <w:rPr>
          <w:rFonts w:ascii="Times New Roman" w:hAnsi="Times New Roman" w:cs="Times New Roman"/>
          <w:b/>
          <w:bCs/>
          <w:color w:val="000000"/>
          <w:sz w:val="16"/>
          <w:szCs w:val="16"/>
          <w:u w:val="single"/>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3.2.1 Classification of Main Functions of Health Care</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Curative care services:</w:t>
      </w:r>
    </w:p>
    <w:p w:rsidR="00FF7DEF" w:rsidRDefault="00FF7DEF" w:rsidP="00FF7DEF">
      <w:pPr>
        <w:pStyle w:val="NormalWeb"/>
        <w:spacing w:before="0" w:beforeAutospacing="0" w:after="0" w:afterAutospacing="0"/>
        <w:jc w:val="both"/>
        <w:rPr>
          <w:rFonts w:ascii="Times New Roman" w:hAnsi="Times New Roman" w:cs="Times New Roman"/>
        </w:rPr>
      </w:pPr>
      <w:r>
        <w:rPr>
          <w:rFonts w:ascii="Times New Roman" w:hAnsi="Times New Roman" w:cs="Times New Roman"/>
        </w:rPr>
        <w:t>Curative care comprises medical and paramedical services delivered during an episode of curative care. An episode of curative care is one in which the principal medical intent is to relieve symptoms of illness or injury, to reduce the severity of an illness or injury or to protect against exacerbation and/or complication of an illness and/or injury which could threaten life or normal function.</w:t>
      </w:r>
    </w:p>
    <w:p w:rsidR="00FF7DEF" w:rsidRDefault="00FF7DEF" w:rsidP="00FF7DEF">
      <w:pPr>
        <w:pStyle w:val="NormalWeb"/>
        <w:spacing w:before="0" w:beforeAutospacing="0" w:after="0" w:afterAutospacing="0"/>
        <w:jc w:val="both"/>
        <w:rPr>
          <w:rFonts w:ascii="Times New Roman" w:hAnsi="Times New Roman" w:cs="Times New Roman"/>
        </w:rPr>
      </w:pPr>
      <w:r>
        <w:rPr>
          <w:rFonts w:ascii="Times New Roman" w:hAnsi="Times New Roman" w:cs="Times New Roman"/>
        </w:rPr>
        <w:t>It includes: obstetric services; cure of illness or provision of definitive treatment of injury; performance of surgery; diagnostic or therapeutic procedures.</w:t>
      </w:r>
    </w:p>
    <w:p w:rsidR="00FF7DEF" w:rsidRDefault="00FF7DEF" w:rsidP="00FF7DEF">
      <w:pPr>
        <w:pStyle w:val="NormalWeb"/>
        <w:spacing w:before="0" w:beforeAutospacing="0" w:after="0" w:afterAutospacing="0"/>
        <w:jc w:val="both"/>
        <w:rPr>
          <w:rFonts w:ascii="Times New Roman" w:hAnsi="Times New Roman" w:cs="Times New Roman"/>
        </w:rPr>
      </w:pPr>
      <w:r>
        <w:rPr>
          <w:rFonts w:ascii="Times New Roman" w:hAnsi="Times New Roman" w:cs="Times New Roman"/>
        </w:rPr>
        <w:t>It  does not include palliative care.</w:t>
      </w:r>
    </w:p>
    <w:p w:rsidR="00FF7DEF" w:rsidRPr="00845089" w:rsidRDefault="00FF7DEF" w:rsidP="00FF7DEF">
      <w:pPr>
        <w:pStyle w:val="NormalWeb"/>
        <w:spacing w:before="0" w:beforeAutospacing="0" w:after="0" w:afterAutospacing="0"/>
        <w:ind w:left="-54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b/>
          <w:bCs/>
          <w:color w:val="000000"/>
        </w:rPr>
        <w:t>Inpatient curative care:</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Inpatient curative care comprises medical and paramedical services delivered to inpatients during an episode of curative care for an admitted patient.</w:t>
      </w:r>
    </w:p>
    <w:p w:rsidR="00FF7DEF" w:rsidRPr="00845089" w:rsidRDefault="00FF7DEF" w:rsidP="00FF7DEF">
      <w:pPr>
        <w:pStyle w:val="NormalWeb"/>
        <w:spacing w:before="0" w:beforeAutospacing="0" w:after="0" w:afterAutospacing="0"/>
        <w:ind w:left="-54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Outpatient curative care:</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FF7DEF" w:rsidRPr="00845089" w:rsidRDefault="00FF7DEF" w:rsidP="00FF7DEF">
      <w:pPr>
        <w:pStyle w:val="NormalWeb"/>
        <w:spacing w:before="0" w:beforeAutospacing="0" w:after="0" w:afterAutospacing="0"/>
        <w:ind w:left="-54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b/>
          <w:bCs/>
          <w:color w:val="000000"/>
        </w:rPr>
        <w:t>Outpatient dental care:</w:t>
      </w:r>
    </w:p>
    <w:p w:rsidR="00FF7DEF" w:rsidRDefault="00FF7DEF" w:rsidP="00FF7DEF">
      <w:pPr>
        <w:bidi w:val="0"/>
        <w:jc w:val="both"/>
      </w:pPr>
      <w: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FF7DEF" w:rsidRPr="00845089" w:rsidRDefault="00FF7DEF" w:rsidP="00FF7DEF">
      <w:pPr>
        <w:bidi w:val="0"/>
        <w:ind w:hanging="540"/>
        <w:jc w:val="both"/>
        <w:rPr>
          <w:b/>
          <w:bCs/>
          <w:sz w:val="16"/>
          <w:szCs w:val="16"/>
        </w:rPr>
      </w:pPr>
    </w:p>
    <w:p w:rsidR="00FF7DEF" w:rsidRDefault="00FF7DEF" w:rsidP="00FF7DEF">
      <w:pPr>
        <w:bidi w:val="0"/>
        <w:jc w:val="both"/>
        <w:rPr>
          <w:b/>
          <w:bCs/>
        </w:rPr>
      </w:pPr>
      <w:r>
        <w:rPr>
          <w:b/>
          <w:bCs/>
        </w:rPr>
        <w:t>All other specialized health care:</w:t>
      </w:r>
    </w:p>
    <w:p w:rsidR="00FF7DEF" w:rsidRDefault="00FF7DEF" w:rsidP="00FF7DEF">
      <w:pPr>
        <w:bidi w:val="0"/>
        <w:jc w:val="both"/>
      </w:pPr>
      <w:r>
        <w:t>This item comprises all specialized medical services provided to outpatients by physicians other than basic medical and diagnostic services and dental care. Included are mental health, substance abuse therapy and outpatient surgery.</w:t>
      </w:r>
    </w:p>
    <w:p w:rsidR="00FF7DEF" w:rsidRPr="0083324D" w:rsidRDefault="00FF7DEF" w:rsidP="00FF7DEF">
      <w:pPr>
        <w:bidi w:val="0"/>
        <w:ind w:left="-540"/>
        <w:jc w:val="both"/>
        <w:rPr>
          <w:b/>
          <w:bCs/>
          <w:sz w:val="18"/>
          <w:szCs w:val="18"/>
        </w:rPr>
      </w:pPr>
    </w:p>
    <w:p w:rsidR="00FF7DEF" w:rsidRDefault="00FF7DEF" w:rsidP="0098309D">
      <w:pPr>
        <w:bidi w:val="0"/>
        <w:rPr>
          <w:b/>
          <w:bCs/>
        </w:rPr>
      </w:pPr>
      <w:r>
        <w:rPr>
          <w:b/>
          <w:bCs/>
        </w:rPr>
        <w:t>All other outpatient curative care:</w:t>
      </w:r>
    </w:p>
    <w:p w:rsidR="00FF7DEF" w:rsidRPr="00B57077" w:rsidRDefault="00FF7DEF" w:rsidP="0098309D">
      <w:pPr>
        <w:widowControl w:val="0"/>
        <w:bidi w:val="0"/>
        <w:jc w:val="both"/>
        <w:rPr>
          <w:b/>
          <w:bCs/>
        </w:rPr>
      </w:pPr>
      <w:r w:rsidRPr="00B57077">
        <w:t xml:space="preserve">This item comprises all other miscellaneous medical and paramedical services provided to outpatients by physicians or paramedical practitioners. Included are services provided to </w:t>
      </w:r>
      <w:r w:rsidRPr="00B57077">
        <w:lastRenderedPageBreak/>
        <w:t>outpatients by paramedical professionals such as chiropractors</w:t>
      </w:r>
      <w:r>
        <w:t xml:space="preserve">, occupational therapists, and audiologists, in addition to paramedical mental health, substance abuse therapy and speech therapy. </w:t>
      </w:r>
    </w:p>
    <w:p w:rsidR="00FF7DEF" w:rsidRPr="00845089" w:rsidRDefault="00FF7DEF" w:rsidP="00FF7DEF">
      <w:pPr>
        <w:bidi w:val="0"/>
        <w:rPr>
          <w:b/>
          <w:bCs/>
          <w:sz w:val="16"/>
          <w:szCs w:val="16"/>
        </w:rPr>
      </w:pPr>
    </w:p>
    <w:p w:rsidR="00FF7DEF" w:rsidRDefault="00FF7DEF" w:rsidP="00FF7DEF">
      <w:pPr>
        <w:bidi w:val="0"/>
        <w:rPr>
          <w:b/>
          <w:bCs/>
        </w:rPr>
      </w:pPr>
      <w:r>
        <w:rPr>
          <w:b/>
          <w:bCs/>
        </w:rPr>
        <w:t>Services of rehabilitative care:</w:t>
      </w:r>
    </w:p>
    <w:p w:rsidR="00FF7DEF" w:rsidRDefault="00FF7DEF" w:rsidP="00FF7DEF">
      <w:pPr>
        <w:bidi w:val="0"/>
        <w:jc w:val="both"/>
      </w:pPr>
      <w:r>
        <w:t>This item comprises medical and paramedical services delivered to patients during an episode of rehabilitative care. Rehabilitative care comprises services where the emphasis lies on improving the functional levels of the persons served and where the functional limitations are either due to a recent event of illness or injury or of a recurrent nature (regression or progression). Included are services delivered to persons where the onset of disease or impairment to be treated occurred further in the past or has not been subject to prior rehabilitation services.</w:t>
      </w:r>
    </w:p>
    <w:p w:rsidR="00FF7DEF" w:rsidRPr="00845089" w:rsidRDefault="00FF7DEF" w:rsidP="00FF7DEF">
      <w:pPr>
        <w:bidi w:val="0"/>
        <w:ind w:left="-540"/>
        <w:rPr>
          <w:b/>
          <w:bCs/>
          <w:sz w:val="16"/>
          <w:szCs w:val="16"/>
        </w:rPr>
      </w:pPr>
    </w:p>
    <w:p w:rsidR="00FF7DEF" w:rsidRDefault="00FF7DEF" w:rsidP="00FF7DEF">
      <w:pPr>
        <w:bidi w:val="0"/>
        <w:rPr>
          <w:b/>
          <w:bCs/>
        </w:rPr>
      </w:pPr>
      <w:r>
        <w:rPr>
          <w:b/>
          <w:bCs/>
        </w:rPr>
        <w:t>Inpatient long-term nursing care:</w:t>
      </w:r>
    </w:p>
    <w:p w:rsidR="00FF7DEF" w:rsidRDefault="00FF7DEF" w:rsidP="00FF7DEF">
      <w:pPr>
        <w:bidi w:val="0"/>
        <w:jc w:val="both"/>
      </w:pPr>
      <w:r>
        <w:t>Long-term health care comprises ongoing health and nursing care given to those who need assistance on a continuous basis due to chronic impairments and a reduced degree of independence and activities of daily living. Inpatient long-term care is provided in institutions or community facilities. Long-term care is typically a mix of medical (including nursing care) and social services. Only the former is recorded in the SHA under health expenditure.</w:t>
      </w:r>
    </w:p>
    <w:p w:rsidR="00FF7DEF" w:rsidRPr="00845089" w:rsidRDefault="00FF7DEF" w:rsidP="00FF7DEF">
      <w:pPr>
        <w:bidi w:val="0"/>
        <w:ind w:hanging="540"/>
        <w:rPr>
          <w:sz w:val="16"/>
          <w:szCs w:val="16"/>
        </w:rPr>
      </w:pPr>
    </w:p>
    <w:p w:rsidR="00FF7DEF" w:rsidRDefault="00FF7DEF" w:rsidP="00FF7DEF">
      <w:pPr>
        <w:bidi w:val="0"/>
        <w:rPr>
          <w:b/>
          <w:bCs/>
          <w:color w:val="000000"/>
        </w:rPr>
      </w:pPr>
      <w:r>
        <w:rPr>
          <w:b/>
          <w:bCs/>
          <w:color w:val="000000"/>
        </w:rPr>
        <w:t>Ancillary services to health care:</w:t>
      </w:r>
    </w:p>
    <w:p w:rsidR="00FF7DEF" w:rsidRDefault="00FF7DEF" w:rsidP="00FF7DEF">
      <w:pPr>
        <w:bidi w:val="0"/>
        <w:jc w:val="both"/>
        <w:rPr>
          <w:color w:val="000000"/>
        </w:rPr>
      </w:pPr>
      <w:r>
        <w:rPr>
          <w:color w:val="000000"/>
        </w:rPr>
        <w:t>This item comprises a variety of services, mainly performed by paramedical or medical technical personnel with or without the direct supervision of a medical doctor, such as laboratory, diagnosis imaging and patient transport.</w:t>
      </w:r>
    </w:p>
    <w:p w:rsidR="00FF7DEF" w:rsidRDefault="00FF7DEF" w:rsidP="00FF7DEF">
      <w:pPr>
        <w:numPr>
          <w:ilvl w:val="0"/>
          <w:numId w:val="3"/>
        </w:numPr>
        <w:tabs>
          <w:tab w:val="clear" w:pos="720"/>
          <w:tab w:val="num" w:pos="180"/>
        </w:tabs>
        <w:bidi w:val="0"/>
        <w:ind w:left="180" w:right="720" w:hanging="180"/>
        <w:jc w:val="both"/>
      </w:pPr>
      <w:r>
        <w:rPr>
          <w:color w:val="000000"/>
        </w:rPr>
        <w:t>Clinical laboratory.</w:t>
      </w:r>
    </w:p>
    <w:p w:rsidR="00FF7DEF" w:rsidRDefault="00FF7DEF" w:rsidP="00FF7DEF">
      <w:pPr>
        <w:pStyle w:val="NormalWeb"/>
        <w:numPr>
          <w:ilvl w:val="0"/>
          <w:numId w:val="3"/>
        </w:numPr>
        <w:tabs>
          <w:tab w:val="clear" w:pos="720"/>
          <w:tab w:val="num" w:pos="180"/>
        </w:tabs>
        <w:spacing w:before="0" w:beforeAutospacing="0" w:after="0" w:afterAutospacing="0"/>
        <w:ind w:left="180" w:right="720" w:hanging="180"/>
        <w:jc w:val="both"/>
        <w:rPr>
          <w:rFonts w:ascii="Times New Roman" w:hAnsi="Times New Roman" w:cs="Times New Roman"/>
          <w:color w:val="000000"/>
        </w:rPr>
      </w:pPr>
      <w:r>
        <w:rPr>
          <w:rFonts w:ascii="Times New Roman" w:hAnsi="Times New Roman" w:cs="Times New Roman"/>
          <w:color w:val="000000"/>
        </w:rPr>
        <w:t>Patient transport and emergency rescue.</w:t>
      </w:r>
    </w:p>
    <w:p w:rsidR="00FF7DEF" w:rsidRDefault="00FF7DEF" w:rsidP="00FF7DEF">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All other miscellaneous ancillary services.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goods dispensed to outpatients: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medical goods dispensed to outpatients and the services connected with dispensing, such as retail trade, fitting, maintaining, and renting of medical goods and appliances. Included are services of public pharmacies, opticians, sanitary shops, and other specialized or non-specialized retail traders, including mail ordering and teleshopping.</w:t>
      </w:r>
    </w:p>
    <w:p w:rsidR="00FF7DEF" w:rsidRDefault="00FF7DEF" w:rsidP="00FF7DEF">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Pharmaceuticals and other medical non-durables.</w:t>
      </w:r>
    </w:p>
    <w:p w:rsidR="00FF7DEF" w:rsidRDefault="00FF7DEF" w:rsidP="00FF7DEF">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Therapeutic appliances and other medical durables.</w:t>
      </w:r>
    </w:p>
    <w:p w:rsidR="00FF7DEF" w:rsidRPr="00845089" w:rsidRDefault="00FF7DEF" w:rsidP="00FF7DEF">
      <w:pPr>
        <w:pStyle w:val="NormalWeb"/>
        <w:tabs>
          <w:tab w:val="num" w:pos="180"/>
        </w:tabs>
        <w:spacing w:before="0" w:beforeAutospacing="0" w:after="0" w:afterAutospacing="0"/>
        <w:ind w:left="180"/>
        <w:jc w:val="both"/>
        <w:rPr>
          <w:rFonts w:ascii="Times New Roman" w:hAnsi="Times New Roman" w:cs="Times New Roman"/>
          <w:color w:val="000000"/>
          <w:sz w:val="16"/>
          <w:szCs w:val="16"/>
        </w:rPr>
      </w:pPr>
    </w:p>
    <w:p w:rsidR="00FF7DEF" w:rsidRDefault="00FF7DEF" w:rsidP="00FF7DEF">
      <w:pPr>
        <w:pStyle w:val="NormalWeb"/>
        <w:spacing w:before="0" w:beforeAutospacing="0" w:after="0" w:afterAutospacing="0"/>
        <w:ind w:right="720"/>
        <w:jc w:val="both"/>
        <w:rPr>
          <w:rFonts w:ascii="Times New Roman" w:hAnsi="Times New Roman" w:cs="Times New Roman"/>
          <w:b/>
          <w:bCs/>
          <w:color w:val="000000"/>
        </w:rPr>
      </w:pPr>
      <w:r>
        <w:rPr>
          <w:rFonts w:ascii="Times New Roman" w:hAnsi="Times New Roman" w:cs="Times New Roman"/>
          <w:b/>
          <w:bCs/>
          <w:color w:val="000000"/>
        </w:rPr>
        <w:t>Prevention and public health services: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Prevention and public health services comprise services designed to enhance the health status of the population as distinct from curative services to repair health dysfunction. Typical services are vaccination campaigns and programs. </w:t>
      </w:r>
    </w:p>
    <w:p w:rsidR="00FF7DEF" w:rsidRPr="00845089" w:rsidRDefault="00FF7DEF" w:rsidP="00FF7DEF">
      <w:pPr>
        <w:pStyle w:val="NormalWeb"/>
        <w:spacing w:before="0" w:beforeAutospacing="0" w:after="0" w:afterAutospacing="0"/>
        <w:rPr>
          <w:rFonts w:ascii="Times New Roman" w:hAnsi="Times New Roman" w:cs="Times New Roman"/>
          <w:color w:val="000000"/>
          <w:sz w:val="16"/>
          <w:szCs w:val="16"/>
        </w:rPr>
      </w:pP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Note: Prevention and public health functions do not cover all fields of public health in the broadest sense of a cross-functional common concern for health matters and public actions. Some of these broadly defined public health functions, such as emergency plans and environmental protection, are not part of expenditure on health (but instead are classified as health-related functions):</w:t>
      </w:r>
    </w:p>
    <w:p w:rsidR="00FF7DEF" w:rsidRDefault="00FF7DEF" w:rsidP="00FF7DE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Maternal and child health, family planning and counseling</w:t>
      </w:r>
    </w:p>
    <w:p w:rsidR="00FF7DEF" w:rsidRDefault="00FF7DEF" w:rsidP="00FF7DE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communicable diseases</w:t>
      </w:r>
    </w:p>
    <w:p w:rsidR="00FF7DEF" w:rsidRDefault="00FF7DEF" w:rsidP="00FF7DE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non-communicable diseases</w:t>
      </w:r>
    </w:p>
    <w:p w:rsidR="00FF7DEF" w:rsidRDefault="00FF7DEF" w:rsidP="00FF7DE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Occupational health care</w:t>
      </w:r>
    </w:p>
    <w:p w:rsidR="00FF7DEF" w:rsidRDefault="00FF7DEF" w:rsidP="00FF7DE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All other miscellaneous public health services.</w:t>
      </w:r>
    </w:p>
    <w:p w:rsidR="00FF7DEF" w:rsidRPr="00845089" w:rsidRDefault="00FF7DEF" w:rsidP="00FF7DEF">
      <w:pPr>
        <w:pStyle w:val="NormalWeb"/>
        <w:spacing w:before="0" w:beforeAutospacing="0" w:after="0" w:afterAutospacing="0"/>
        <w:ind w:left="-180" w:hanging="36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lastRenderedPageBreak/>
        <w:t>Health administration and health insurance:</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health insurance are activities of private insurers as well as central and local government. Included are the planning, management, regulation, and collection of funds and handling of claims of the delivery.</w:t>
      </w:r>
    </w:p>
    <w:p w:rsidR="00FF7DEF" w:rsidRPr="00845089" w:rsidRDefault="00FF7DEF" w:rsidP="00FF7DEF">
      <w:pPr>
        <w:pStyle w:val="NormalWeb"/>
        <w:spacing w:before="0" w:beforeAutospacing="0" w:after="0" w:afterAutospacing="0"/>
        <w:ind w:left="-180" w:hanging="36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General government administration of health:</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general government administration of health comprises a variety of activities of government health administration that cannot be assigned to HC.1-HC.6. Activities include formulation, administration, coordination and monitoring of overall health policies, plans, programs and budgets.</w:t>
      </w:r>
    </w:p>
    <w:p w:rsidR="00FF7DEF" w:rsidRPr="00845089" w:rsidRDefault="00FF7DEF" w:rsidP="00FF7DEF">
      <w:pPr>
        <w:pStyle w:val="NormalWeb"/>
        <w:spacing w:before="0" w:beforeAutospacing="0" w:after="0" w:afterAutospacing="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Health administration and private health insurance:</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private health insurance comprise health administration of social health insurance as well as private health insurance.</w:t>
      </w:r>
    </w:p>
    <w:p w:rsidR="00FF7DEF" w:rsidRPr="00845089" w:rsidRDefault="00FF7DEF" w:rsidP="00FF7DEF">
      <w:pPr>
        <w:pStyle w:val="NormalWeb"/>
        <w:tabs>
          <w:tab w:val="right" w:pos="-540"/>
        </w:tabs>
        <w:spacing w:before="0" w:beforeAutospacing="0" w:after="0" w:afterAutospacing="0"/>
        <w:rPr>
          <w:rFonts w:ascii="Times New Roman" w:hAnsi="Times New Roman" w:cs="Times New Roman"/>
          <w:b/>
          <w:bCs/>
          <w:color w:val="000000"/>
          <w:sz w:val="16"/>
          <w:szCs w:val="16"/>
        </w:rPr>
      </w:pPr>
    </w:p>
    <w:p w:rsidR="00FF7DEF" w:rsidRPr="00845089" w:rsidRDefault="00FF7DEF" w:rsidP="00FF7DEF">
      <w:pPr>
        <w:pStyle w:val="NormalWeb"/>
        <w:spacing w:before="0" w:beforeAutospacing="0" w:after="0" w:afterAutospacing="0"/>
        <w:rPr>
          <w:rFonts w:ascii="Times New Roman" w:hAnsi="Times New Roman" w:cs="Times New Roman"/>
          <w:b/>
          <w:bCs/>
          <w:color w:val="000000"/>
          <w:sz w:val="16"/>
          <w:szCs w:val="16"/>
        </w:rPr>
      </w:pPr>
    </w:p>
    <w:p w:rsidR="00FF7DEF" w:rsidRDefault="00FF7DEF" w:rsidP="00FF7DEF">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3.2.2 Classification of Health-related Functions of Health Care</w:t>
      </w:r>
    </w:p>
    <w:p w:rsidR="00FF7DEF" w:rsidRPr="00845089" w:rsidRDefault="00FF7DEF" w:rsidP="00FF7DEF">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FF7DEF" w:rsidRDefault="00FF7DEF" w:rsidP="00FF7DEF">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Capital formation of health care providers for institutions:</w:t>
      </w:r>
    </w:p>
    <w:p w:rsidR="00FF7DEF" w:rsidRDefault="00FF7DEF" w:rsidP="00FF7DEF">
      <w:pPr>
        <w:pStyle w:val="NormalWeb"/>
        <w:tabs>
          <w:tab w:val="right" w:pos="-54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gross capital formation of domestic health care providers for institutions excluding those listed under HP.4 retail sale and other providers of medical goods.</w:t>
      </w:r>
    </w:p>
    <w:p w:rsidR="00FF7DEF" w:rsidRPr="00845089" w:rsidRDefault="00FF7DEF" w:rsidP="00FF7DEF">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FF7DEF" w:rsidRDefault="00FF7DEF" w:rsidP="00FF7DE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Education and training of health personnel:</w:t>
      </w:r>
    </w:p>
    <w:p w:rsidR="00FF7DEF" w:rsidRDefault="00FF7DEF" w:rsidP="00FF7DEF">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and private provision of education and training of health personnel, including administration, inspection or support of institutions providing education and training of health personnel. This corresponds to post-secondary and tertiary education in the field of health (according to the ISCED-97 code) by central and local government and private institutions such as nursing schools run by private hospitals.</w:t>
      </w:r>
    </w:p>
    <w:p w:rsidR="00FF7DEF" w:rsidRPr="00845089" w:rsidRDefault="00FF7DEF" w:rsidP="00FF7DEF">
      <w:pPr>
        <w:pStyle w:val="NormalWeb"/>
        <w:tabs>
          <w:tab w:val="right" w:pos="-540"/>
        </w:tabs>
        <w:spacing w:before="0" w:beforeAutospacing="0" w:after="0" w:afterAutospacing="0"/>
        <w:ind w:hanging="540"/>
        <w:jc w:val="both"/>
        <w:rPr>
          <w:rFonts w:ascii="Times New Roman" w:hAnsi="Times New Roman" w:cs="Times New Roman"/>
          <w:b/>
          <w:bCs/>
          <w:color w:val="000000"/>
          <w:sz w:val="16"/>
          <w:szCs w:val="16"/>
        </w:rPr>
      </w:pPr>
    </w:p>
    <w:p w:rsidR="00FF7DEF" w:rsidRDefault="00FF7DEF" w:rsidP="00FF7DE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Research and Development in Health:</w:t>
      </w:r>
    </w:p>
    <w:p w:rsidR="00FF7DEF" w:rsidRDefault="00FF7DEF" w:rsidP="00FF7DEF">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research and development (R&amp;D) programs directed towards the protection and improvement of human health. It includes R&amp;D on food hygiene, nutrition, radiation used for medical purposes, biochemical engineering, medical information, rationalization of treatment and pharmacology (including testing medicines and breeding of laboratory animals for scientific purposes) as well as research related to epidemiology, prevention of industrial diseases and drug addiction.</w:t>
      </w:r>
    </w:p>
    <w:p w:rsidR="00FF7DEF" w:rsidRPr="00845089" w:rsidRDefault="00FF7DEF" w:rsidP="00FF7DEF">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FF7DEF" w:rsidRDefault="00FF7DEF" w:rsidP="00FF7DE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Food, hygiene and drinking water control:</w:t>
      </w:r>
    </w:p>
    <w:p w:rsidR="00FF7DEF" w:rsidRDefault="00FF7DEF" w:rsidP="00FF7DEF">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a variety of activities of a public health concern that form part of other public activities such as inspection and regulation of various industries, including the water supply.</w:t>
      </w:r>
    </w:p>
    <w:p w:rsidR="00FF7DEF" w:rsidRPr="0083324D" w:rsidRDefault="00FF7DEF" w:rsidP="00FF7DEF">
      <w:pPr>
        <w:pStyle w:val="NormalWeb"/>
        <w:tabs>
          <w:tab w:val="right" w:pos="-540"/>
        </w:tabs>
        <w:spacing w:before="0" w:beforeAutospacing="0" w:after="0" w:afterAutospacing="0"/>
        <w:ind w:hanging="540"/>
        <w:jc w:val="both"/>
        <w:rPr>
          <w:rFonts w:ascii="Times New Roman" w:hAnsi="Times New Roman" w:cs="Times New Roman"/>
          <w:b/>
          <w:bCs/>
          <w:color w:val="000000"/>
          <w:sz w:val="18"/>
          <w:szCs w:val="18"/>
        </w:rPr>
      </w:pPr>
    </w:p>
    <w:p w:rsidR="00FF7DEF" w:rsidRDefault="00FF7DEF" w:rsidP="00FF7DE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Environmental health:</w:t>
      </w:r>
    </w:p>
    <w:p w:rsidR="00FF7DEF" w:rsidRDefault="00FF7DEF" w:rsidP="00FF7DEF">
      <w:pPr>
        <w:pStyle w:val="NormalWeb"/>
        <w:tabs>
          <w:tab w:val="right" w:pos="0"/>
        </w:tabs>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a variety of activities to monitor the environment and environmental control with a specific focus on public health concerns.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Pr="004841AD" w:rsidRDefault="00FF7DEF" w:rsidP="00FF7DEF">
      <w:pPr>
        <w:bidi w:val="0"/>
        <w:spacing w:line="276" w:lineRule="auto"/>
        <w:rPr>
          <w:rFonts w:eastAsia="Arial Unicode MS"/>
          <w:b/>
          <w:bCs/>
          <w:color w:val="000000"/>
        </w:rPr>
      </w:pPr>
      <w:r>
        <w:rPr>
          <w:b/>
          <w:bCs/>
          <w:color w:val="000000"/>
        </w:rPr>
        <w:t>Administration and provision of in-kind social services to assist persons living with disease and impairment:</w:t>
      </w:r>
    </w:p>
    <w:p w:rsidR="00FF7DEF" w:rsidRDefault="00FF7DEF" w:rsidP="00FF7DEF">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in-kind (non-medical) social services provided to persons with health problems and functional limitations or impairments where the primary goal is social and vocational rehabilitation or integration.</w:t>
      </w:r>
    </w:p>
    <w:p w:rsidR="0098309D" w:rsidRDefault="0098309D" w:rsidP="00FF7DEF">
      <w:pPr>
        <w:pStyle w:val="NormalWeb"/>
        <w:spacing w:before="0" w:beforeAutospacing="0" w:after="0" w:afterAutospacing="0"/>
        <w:ind w:left="-540" w:firstLine="540"/>
        <w:rPr>
          <w:rFonts w:ascii="Times New Roman" w:hAnsi="Times New Roman" w:cs="Times New Roman"/>
          <w:b/>
          <w:bCs/>
          <w:color w:val="000000"/>
          <w:sz w:val="16"/>
          <w:szCs w:val="16"/>
        </w:rPr>
      </w:pPr>
    </w:p>
    <w:p w:rsidR="0098309D" w:rsidRDefault="0098309D" w:rsidP="00FF7DEF">
      <w:pPr>
        <w:pStyle w:val="NormalWeb"/>
        <w:spacing w:before="0" w:beforeAutospacing="0" w:after="0" w:afterAutospacing="0"/>
        <w:ind w:left="-540" w:firstLine="540"/>
        <w:rPr>
          <w:rFonts w:ascii="Times New Roman" w:hAnsi="Times New Roman" w:cs="Times New Roman"/>
          <w:b/>
          <w:bCs/>
          <w:color w:val="000000"/>
          <w:sz w:val="16"/>
          <w:szCs w:val="16"/>
        </w:rPr>
      </w:pPr>
    </w:p>
    <w:p w:rsidR="0098309D" w:rsidRDefault="0098309D" w:rsidP="00FF7DEF">
      <w:pPr>
        <w:pStyle w:val="NormalWeb"/>
        <w:spacing w:before="0" w:beforeAutospacing="0" w:after="0" w:afterAutospacing="0"/>
        <w:ind w:left="-540" w:firstLine="540"/>
        <w:rPr>
          <w:rFonts w:ascii="Times New Roman" w:hAnsi="Times New Roman" w:cs="Times New Roman"/>
          <w:b/>
          <w:bCs/>
          <w:color w:val="000000"/>
          <w:sz w:val="16"/>
          <w:szCs w:val="16"/>
        </w:rPr>
      </w:pPr>
    </w:p>
    <w:p w:rsidR="00FF7DEF" w:rsidRPr="00AC645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lastRenderedPageBreak/>
        <w:t>Administration and provision of health-related cash-benefits:</w:t>
      </w:r>
    </w:p>
    <w:p w:rsidR="00FF7DEF" w:rsidRDefault="00FF7DEF" w:rsidP="00FF7DEF">
      <w:pPr>
        <w:pStyle w:val="NormalWeb"/>
        <w:spacing w:before="0" w:beforeAutospacing="0" w:after="0" w:afterAutospacing="0"/>
        <w:jc w:val="both"/>
        <w:rPr>
          <w:rFonts w:ascii="Times New Roman" w:hAnsi="Times New Roman" w:cs="Times New Roman"/>
          <w:b/>
          <w:bCs/>
          <w:color w:val="000000"/>
        </w:rPr>
      </w:pPr>
      <w:r w:rsidRPr="00AC645F">
        <w:rPr>
          <w:rFonts w:ascii="Times New Roman" w:hAnsi="Times New Roman" w:cs="Times New Roman"/>
          <w:color w:val="000000"/>
        </w:rPr>
        <w:t>This item comprises the administration and provision of health-related cash benefits by social</w:t>
      </w:r>
      <w:r>
        <w:rPr>
          <w:rFonts w:ascii="Times New Roman" w:hAnsi="Times New Roman" w:cs="Times New Roman"/>
          <w:color w:val="000000"/>
        </w:rPr>
        <w:t xml:space="preserve"> protection programs in the form of transfers provided to individuals and households. Included are collective services such as the administration and regulation of these programs.</w:t>
      </w:r>
    </w:p>
    <w:p w:rsidR="00FF7DEF" w:rsidRPr="0098309D" w:rsidRDefault="00FF7DEF" w:rsidP="00FF7DEF">
      <w:pPr>
        <w:pStyle w:val="NormalWeb"/>
        <w:spacing w:before="0" w:beforeAutospacing="0" w:after="0" w:afterAutospacing="0"/>
        <w:ind w:left="-180"/>
        <w:jc w:val="both"/>
        <w:rPr>
          <w:rFonts w:ascii="Times New Roman" w:hAnsi="Times New Roman" w:cs="Times New Roman"/>
          <w:b/>
          <w:bCs/>
          <w:color w:val="000000"/>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3.3 Classification of Health Care Financing</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u w:val="single"/>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u w:val="single"/>
        </w:rPr>
      </w:pPr>
      <w:r>
        <w:rPr>
          <w:rFonts w:ascii="Times New Roman" w:hAnsi="Times New Roman" w:cs="Times New Roman"/>
          <w:b/>
          <w:bCs/>
          <w:color w:val="000000"/>
        </w:rPr>
        <w:t>General government:</w:t>
      </w:r>
    </w:p>
    <w:p w:rsidR="00FF7DEF" w:rsidRDefault="00FF7DEF" w:rsidP="00FF7DEF">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color w:val="000000"/>
        </w:rPr>
        <w:t>This item comprises all institutional units of central, state or local government and social security funds at all levels of government. Included are non-profit institutions that are controlled and mainly financed by government units.</w:t>
      </w:r>
    </w:p>
    <w:p w:rsidR="00FF7DEF" w:rsidRPr="00845089" w:rsidRDefault="00FF7DEF" w:rsidP="00FF7DEF">
      <w:pPr>
        <w:pStyle w:val="NormalWeb"/>
        <w:spacing w:before="0" w:beforeAutospacing="0" w:after="0" w:afterAutospacing="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Social security funds: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Social security funds are social insurance schemes covering  all or large segments of the community and are imposed and controlled by government units.</w:t>
      </w:r>
    </w:p>
    <w:p w:rsidR="00FF7DEF" w:rsidRPr="00845089" w:rsidRDefault="00FF7DEF" w:rsidP="00FF7DEF">
      <w:pPr>
        <w:pStyle w:val="NormalWeb"/>
        <w:spacing w:before="0" w:beforeAutospacing="0" w:after="0" w:afterAutospacing="0"/>
        <w:ind w:left="-540" w:firstLine="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jc w:val="both"/>
        <w:rPr>
          <w:rFonts w:ascii="Times New Roman" w:hAnsi="Times New Roman" w:cs="Times New Roman"/>
          <w:b/>
          <w:bCs/>
          <w:color w:val="000000"/>
          <w:u w:val="single"/>
        </w:rPr>
      </w:pPr>
      <w:r>
        <w:rPr>
          <w:rFonts w:ascii="Times New Roman" w:hAnsi="Times New Roman" w:cs="Times New Roman"/>
          <w:b/>
          <w:bCs/>
          <w:color w:val="000000"/>
        </w:rPr>
        <w:t>Private sector:</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sector comprises all resident institutional units that do not belong to the government sector.</w:t>
      </w:r>
    </w:p>
    <w:p w:rsidR="00FF7DEF" w:rsidRPr="00845089" w:rsidRDefault="00FF7DEF" w:rsidP="00FF7DEF">
      <w:pPr>
        <w:pStyle w:val="NormalWeb"/>
        <w:spacing w:before="0" w:beforeAutospacing="0" w:after="0" w:afterAutospacing="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u w:val="single"/>
        </w:rPr>
      </w:pPr>
      <w:r>
        <w:rPr>
          <w:rFonts w:ascii="Times New Roman" w:hAnsi="Times New Roman" w:cs="Times New Roman"/>
          <w:b/>
          <w:bCs/>
          <w:color w:val="000000"/>
        </w:rPr>
        <w:t>Private insurance enterprises:</w:t>
      </w:r>
    </w:p>
    <w:p w:rsidR="00FF7DEF" w:rsidRDefault="00FF7DEF" w:rsidP="00FF7DEF">
      <w:pPr>
        <w:pStyle w:val="NormalWeb"/>
        <w:spacing w:before="0" w:beforeAutospacing="0" w:after="0" w:afterAutospacing="0"/>
        <w:rPr>
          <w:rFonts w:ascii="Times New Roman" w:hAnsi="Times New Roman" w:cs="Times New Roman"/>
          <w:color w:val="000000"/>
        </w:rPr>
      </w:pPr>
      <w:r>
        <w:rPr>
          <w:rFonts w:ascii="Times New Roman" w:hAnsi="Times New Roman" w:cs="Times New Roman"/>
          <w:color w:val="000000"/>
        </w:rPr>
        <w:t>This sector comprises all private insurance funds other than social security funds.</w:t>
      </w:r>
    </w:p>
    <w:p w:rsidR="00FF7DEF" w:rsidRPr="00845089" w:rsidRDefault="00FF7DEF" w:rsidP="00FF7DEF">
      <w:pPr>
        <w:pStyle w:val="NormalWeb"/>
        <w:spacing w:before="0" w:beforeAutospacing="0" w:after="0" w:afterAutospacing="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Private household out-of-pocket expenditure:</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direct outlays of households, including gratuities and payments in kind, made to health practitioners and suppliers of pharmaceuticals, therapeutic appliances, and other goods and services whose primary intent is to contribute to the restoration or to the enhancement of the health status of individuals or population groups. This includes payments by the household to public health services, non-profit institutions or nongovernmental organizations. However, it excludes payments made by enterprises that deliver medical and paramedical benefits, mandated by law or not, to their employees.</w:t>
      </w:r>
    </w:p>
    <w:p w:rsidR="00FF7DEF" w:rsidRPr="00845089" w:rsidRDefault="00FF7DEF" w:rsidP="00FF7DEF">
      <w:pPr>
        <w:pStyle w:val="NormalWeb"/>
        <w:spacing w:before="0" w:beforeAutospacing="0" w:after="0" w:afterAutospacing="0"/>
        <w:ind w:left="-540"/>
        <w:rPr>
          <w:rFonts w:ascii="Times New Roman" w:hAnsi="Times New Roman" w:cs="Times New Roman"/>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Non-profit institutions serving households: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Non-profit institutions serving households (NPISHs) consist of non-profit institutions that provide goods or services to households free or at prices that are not economically significant.</w:t>
      </w:r>
    </w:p>
    <w:p w:rsidR="00FF7DEF" w:rsidRPr="0083324D" w:rsidRDefault="00FF7DEF" w:rsidP="00FF7DEF">
      <w:pPr>
        <w:pStyle w:val="NormalWeb"/>
        <w:spacing w:before="0" w:beforeAutospacing="0" w:after="0" w:afterAutospacing="0"/>
        <w:ind w:left="-540"/>
        <w:jc w:val="both"/>
        <w:rPr>
          <w:rFonts w:ascii="Times New Roman" w:hAnsi="Times New Roman" w:cs="Times New Roman"/>
          <w:b/>
          <w:bCs/>
          <w:color w:val="000000"/>
          <w:sz w:val="18"/>
          <w:szCs w:val="18"/>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Private corporations (other than health insurance companies):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sector comprises all corporations or quasi-corporations whose principal activity is the production of market goods or services (other than health insurance). This category includes all resident non-profit institutions that are market producers of goods or non-financial services.</w:t>
      </w:r>
    </w:p>
    <w:p w:rsidR="00FF7DEF" w:rsidRPr="00845089" w:rsidRDefault="00FF7DEF" w:rsidP="00FF7DEF">
      <w:pPr>
        <w:pStyle w:val="NormalWeb"/>
        <w:spacing w:before="0" w:beforeAutospacing="0" w:after="0" w:afterAutospacing="0"/>
        <w:ind w:left="-54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Rest of the world:</w:t>
      </w:r>
    </w:p>
    <w:p w:rsidR="00FF7DEF" w:rsidRDefault="00FF7DEF" w:rsidP="00FF7DEF">
      <w:pPr>
        <w:pStyle w:val="NormalWeb"/>
        <w:tabs>
          <w:tab w:val="right" w:pos="9071"/>
        </w:tabs>
        <w:spacing w:before="0" w:beforeAutospacing="0" w:after="0" w:afterAutospacing="0"/>
        <w:rPr>
          <w:rFonts w:ascii="Times New Roman" w:hAnsi="Times New Roman" w:cs="Times New Roman"/>
          <w:color w:val="000000"/>
        </w:rPr>
      </w:pPr>
      <w:r>
        <w:rPr>
          <w:rFonts w:ascii="Times New Roman" w:hAnsi="Times New Roman" w:cs="Times New Roman"/>
          <w:color w:val="000000"/>
        </w:rPr>
        <w:t>This item comprises institutional units that are resident abroad.</w:t>
      </w:r>
    </w:p>
    <w:p w:rsidR="00FF7DEF" w:rsidRDefault="00FF7DEF" w:rsidP="00FF7DEF">
      <w:pPr>
        <w:pStyle w:val="NormalWeb"/>
        <w:tabs>
          <w:tab w:val="right" w:pos="9071"/>
        </w:tabs>
        <w:spacing w:before="0" w:beforeAutospacing="0" w:after="0" w:afterAutospacing="0"/>
        <w:rPr>
          <w:rFonts w:ascii="Times New Roman" w:hAnsi="Times New Roman" w:cs="Times New Roman"/>
          <w:color w:val="000000"/>
        </w:rPr>
      </w:pPr>
      <w:r>
        <w:rPr>
          <w:rFonts w:ascii="Times New Roman" w:hAnsi="Times New Roman" w:cs="Times New Roman"/>
          <w:color w:val="000000"/>
        </w:rPr>
        <w:tab/>
      </w: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3.4 Classification of Health Care Providers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u w:val="single"/>
        </w:rPr>
      </w:pPr>
    </w:p>
    <w:p w:rsidR="00FF7DEF" w:rsidRDefault="00FF7DEF" w:rsidP="00FF7DE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Hospitals: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w:t>
      </w:r>
      <w:r>
        <w:rPr>
          <w:rFonts w:ascii="Times New Roman" w:hAnsi="Times New Roman" w:cs="Times New Roman"/>
          <w:color w:val="000000"/>
        </w:rPr>
        <w:lastRenderedPageBreak/>
        <w:t>part of the production process. In some countries, health facilities need to meet minimal requirements (such as number of beds) in order to be registered as a hospital.</w:t>
      </w:r>
    </w:p>
    <w:p w:rsidR="00FF7DEF" w:rsidRPr="00845089" w:rsidRDefault="00FF7DEF" w:rsidP="00FF7DEF">
      <w:pPr>
        <w:pStyle w:val="NormalWeb"/>
        <w:spacing w:before="0" w:beforeAutospacing="0" w:after="0" w:afterAutospacing="0"/>
        <w:ind w:left="-540" w:firstLine="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hospital:</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operating room services for a variety of procedures, and pharmaceutical services.</w:t>
      </w:r>
    </w:p>
    <w:p w:rsidR="00FF7DEF" w:rsidRPr="00845089" w:rsidRDefault="00FF7DEF" w:rsidP="00FF7DEF">
      <w:pPr>
        <w:pStyle w:val="NormalWeb"/>
        <w:spacing w:before="0" w:beforeAutospacing="0" w:after="0" w:afterAutospacing="0"/>
        <w:ind w:left="-54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Mental health and substance abuse hospital:</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Psychiatric, psychological, and social work services are available at these facilities. These hospitals usually provide other services such as outpatient care, clinical laboratory tests, diagnostic x-rays, and electro-encephalography services.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Specialized (other than mental health and substance abuse) hospital:</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to inpatients with a specific type of disease or medical condition (other than mental health or substance abuse). Hospitals providing long-term care for the chronically ill or rehabilitation and related services to physically challenged or disabled people are included in this item. These hospitals may provide other services, such as outpatient services, diagnostic x-ray services, clinical laboratory services, operating room services, physical therapy services, educational and vocational services, and psychological and social work services.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Nursing and residential care facilities:</w:t>
      </w:r>
    </w:p>
    <w:p w:rsidR="00FF7DEF" w:rsidRDefault="00FF7DEF" w:rsidP="00FF7DEF">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Establishments primarily engaged in providing residential care combined with either nursing, supervisory or other types of care as required by the residents. In these establishments, a significant part of the production process and the care provided is a mix of health and social services, with the health services being primarily nursing services.</w:t>
      </w:r>
    </w:p>
    <w:p w:rsidR="00FF7DEF" w:rsidRPr="00845089" w:rsidRDefault="00FF7DEF" w:rsidP="00FF7DEF">
      <w:pPr>
        <w:pStyle w:val="NormalWeb"/>
        <w:spacing w:before="0" w:beforeAutospacing="0" w:after="0" w:afterAutospacing="0"/>
        <w:ind w:left="-540" w:firstLine="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Providers of ambulatory health care:</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provide services to patients visiting the health professional’s office, except for some pediatric and geriatric conditions.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physicians: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of health practitioners holding the degree of a doctor of medicine or a qualification at a corresponding level, primarily engaged in the independent practice of general or specialized medicine (including psychiatry, psychoanalysis, osteopathy, homeopathy) or surgery. These practitioners operate independently or as part of group practices in their own offices (centers, clinics) or in the facilities of others, such as hospitals or health centers.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color w:val="000000"/>
        </w:rPr>
      </w:pPr>
      <w:r>
        <w:rPr>
          <w:rFonts w:ascii="Times New Roman" w:hAnsi="Times New Roman" w:cs="Times New Roman"/>
          <w:b/>
          <w:bCs/>
          <w:color w:val="000000"/>
        </w:rPr>
        <w:t>Offices of dentists:</w:t>
      </w:r>
      <w:r>
        <w:rPr>
          <w:rFonts w:ascii="Times New Roman" w:hAnsi="Times New Roman" w:cs="Times New Roman"/>
          <w:color w:val="000000"/>
        </w:rPr>
        <w:t xml:space="preserve"> </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establishments of health practitioners holding the degree of doctor of dental medicine or a qualification at a corresponding level primarily engaged in the independent practice of general or specialized dentistry or dental surgery. These practitioners </w:t>
      </w:r>
      <w:r>
        <w:rPr>
          <w:rFonts w:ascii="Times New Roman" w:hAnsi="Times New Roman" w:cs="Times New Roman"/>
          <w:color w:val="000000"/>
        </w:rPr>
        <w:lastRenderedPageBreak/>
        <w:t>operate independently or as part of group practices in their own offices or in the facilities of others, such as hospitals or HMO medical centers. They can provide either comprehensive preventive, cosmetic, or emergency care, or specialize in a single field of dentistry.</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other health practitioners: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FF7DEF" w:rsidRPr="00845089" w:rsidRDefault="00FF7DEF" w:rsidP="00FF7DEF">
      <w:pPr>
        <w:pStyle w:val="NormalWeb"/>
        <w:spacing w:before="0" w:beforeAutospacing="0" w:after="0" w:afterAutospacing="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Outpatient care centers: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engaged in providing a wide range of outpatient services by a team of medical, paramedical, and often support staff, usually bringing together several specialties and/or serving specific functions of primary care. These establishments generally treat patients who do not require inpatient treatment.</w:t>
      </w:r>
    </w:p>
    <w:p w:rsidR="00FF7DEF" w:rsidRPr="00845089" w:rsidRDefault="00FF7DEF" w:rsidP="00FF7DEF">
      <w:pPr>
        <w:pStyle w:val="NormalWeb"/>
        <w:spacing w:before="0" w:beforeAutospacing="0" w:after="0" w:afterAutospacing="0"/>
        <w:ind w:left="-540"/>
        <w:jc w:val="both"/>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and diagnostic laboratories: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primarily engaged in providing analytic or diagnostic services, including body fluid analysis and diagnostic imaging, generally to the medical profession or to the patient on referral from a health practitioner.</w:t>
      </w:r>
    </w:p>
    <w:p w:rsidR="00FF7DEF" w:rsidRPr="00845089" w:rsidRDefault="00FF7DEF" w:rsidP="00FF7DEF">
      <w:pPr>
        <w:pStyle w:val="NormalWeb"/>
        <w:spacing w:before="0" w:beforeAutospacing="0" w:after="0" w:afterAutospacing="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Retail sale and other providers of medical goods: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They include establishments whose primary activity is the retail sale of medical goods to the general public for personal or household consumption or utilization, including fitting and repair done in combination with sale.</w:t>
      </w:r>
    </w:p>
    <w:p w:rsidR="00FF7DEF" w:rsidRPr="00845089" w:rsidRDefault="00FF7DEF" w:rsidP="00FF7DEF">
      <w:pPr>
        <w:pStyle w:val="NormalWeb"/>
        <w:spacing w:before="0" w:beforeAutospacing="0" w:after="0" w:afterAutospacing="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Provision and administration of public health programs: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both government and private administration and provision of public health programs such as health promotion and protection programs.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Pr="004841AD"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health administration and insurance:</w:t>
      </w:r>
    </w:p>
    <w:p w:rsidR="00FF7DEF" w:rsidRPr="004841AD" w:rsidRDefault="00FF7DEF" w:rsidP="00FF7DEF">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E</w:t>
      </w:r>
      <w:r w:rsidRPr="004841AD">
        <w:rPr>
          <w:rFonts w:ascii="Times New Roman" w:hAnsi="Times New Roman" w:cs="Times New Roman"/>
          <w:color w:val="000000"/>
        </w:rPr>
        <w:t>stablishments primarily engaged in the regulation of activities of</w:t>
      </w:r>
      <w:r>
        <w:rPr>
          <w:rFonts w:ascii="Times New Roman" w:hAnsi="Times New Roman" w:cs="Times New Roman"/>
          <w:color w:val="000000"/>
        </w:rPr>
        <w:t xml:space="preserve"> agencies that provide health care, overall administration of health policy, and health insurance.</w:t>
      </w:r>
    </w:p>
    <w:p w:rsidR="00FF7DEF" w:rsidRPr="00845089" w:rsidRDefault="00FF7DEF" w:rsidP="00FF7DEF">
      <w:pPr>
        <w:pStyle w:val="NormalWeb"/>
        <w:spacing w:before="0" w:beforeAutospacing="0" w:after="0" w:afterAutospacing="0"/>
        <w:jc w:val="both"/>
        <w:rPr>
          <w:rFonts w:ascii="Times New Roman" w:hAnsi="Times New Roman" w:cs="Times New Roman"/>
          <w:color w:val="000000"/>
          <w:sz w:val="16"/>
          <w:szCs w:val="16"/>
        </w:rPr>
      </w:pPr>
    </w:p>
    <w:p w:rsidR="00FF7DEF" w:rsidRDefault="00FF7DEF" w:rsidP="00FF7DE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Government administration of health:</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administration (excluding social security) primarily engaged in the formulation and administration of government policy in health and in the setting and enforcement of standards for medical and paramedical personnel, hospitals, clinics, etc., including the regulation and licensing of providers of health services.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(private) insurance:</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insurance of health other than by social security funds and other social insurance (as part of ISIC). This includes establishments primarily engaged in activities involved in or closely related to the management of insurance (activities of insurance agents, average and loss adjusters, actuaries, and salvage administration, as part of ISIC class).</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industries (rest of the economy):</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industries not classified elsewhere that provide health care as secondary producers or other producers. Included are producers of occupational health care and home care provided by private households.</w:t>
      </w:r>
    </w:p>
    <w:p w:rsidR="00FF7DEF" w:rsidRPr="00845089" w:rsidRDefault="00FF7DEF" w:rsidP="00FF7DEF">
      <w:pPr>
        <w:pStyle w:val="NormalWeb"/>
        <w:spacing w:before="0" w:beforeAutospacing="0" w:after="0" w:afterAutospacing="0"/>
        <w:jc w:val="both"/>
        <w:rPr>
          <w:rFonts w:ascii="Times New Roman" w:hAnsi="Times New Roman" w:cs="Times New Roman"/>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Establishments as providers of occupational health care services: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providing occupational health care as ancillary production.</w:t>
      </w:r>
    </w:p>
    <w:p w:rsidR="00FF7DEF" w:rsidRPr="00845089" w:rsidRDefault="00FF7DEF" w:rsidP="00FF7DEF">
      <w:pPr>
        <w:pStyle w:val="NormalWeb"/>
        <w:spacing w:before="0" w:beforeAutospacing="0" w:after="0" w:afterAutospacing="0"/>
        <w:ind w:left="-540"/>
        <w:rPr>
          <w:rFonts w:ascii="Times New Roman" w:hAnsi="Times New Roman" w:cs="Times New Roman"/>
          <w:b/>
          <w:bCs/>
          <w:color w:val="000000"/>
          <w:sz w:val="16"/>
          <w:szCs w:val="16"/>
        </w:rPr>
      </w:pPr>
    </w:p>
    <w:p w:rsidR="00FF7DEF" w:rsidRDefault="00FF7DEF" w:rsidP="00FF7DE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Non-classified public providers:</w:t>
      </w:r>
    </w:p>
    <w:p w:rsidR="00FF7DEF" w:rsidRDefault="00FF7DEF" w:rsidP="00FF7DE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institutions or ministries as providers of health services without specifying the type of service provider because it is not available from the data source.</w:t>
      </w:r>
    </w:p>
    <w:p w:rsidR="009839BC" w:rsidRDefault="009839BC" w:rsidP="00FF7DEF">
      <w:pPr>
        <w:bidi w:val="0"/>
        <w:jc w:val="center"/>
        <w:rPr>
          <w:b/>
          <w:bCs/>
          <w:color w:val="000000"/>
          <w:u w:val="single"/>
        </w:rPr>
      </w:pPr>
    </w:p>
    <w:p w:rsidR="009839BC" w:rsidRDefault="009839BC" w:rsidP="009839BC">
      <w:pPr>
        <w:jc w:val="center"/>
        <w:rPr>
          <w:color w:val="000000"/>
          <w:rtl/>
          <w:lang w:val="en-GB"/>
        </w:rPr>
      </w:pPr>
    </w:p>
    <w:p w:rsidR="009839BC" w:rsidRDefault="009839BC" w:rsidP="009839BC">
      <w:pPr>
        <w:tabs>
          <w:tab w:val="right" w:pos="3960"/>
        </w:tabs>
        <w:bidi w:val="0"/>
        <w:ind w:right="340"/>
        <w:rPr>
          <w:rStyle w:val="longtext1"/>
          <w:color w:val="000000"/>
          <w:shd w:val="clear" w:color="auto" w:fill="FFFFFF"/>
        </w:rPr>
      </w:pPr>
      <w:r>
        <w:rPr>
          <w:rStyle w:val="longtext1"/>
          <w:color w:val="000000"/>
          <w:shd w:val="clear" w:color="auto" w:fill="FFFFFF"/>
        </w:rPr>
        <w:t xml:space="preserve"> </w:t>
      </w:r>
    </w:p>
    <w:p w:rsidR="009839BC" w:rsidRDefault="009839BC" w:rsidP="009839BC">
      <w:pPr>
        <w:bidi w:val="0"/>
        <w:rPr>
          <w:lang w:eastAsia="en-US"/>
        </w:rPr>
      </w:pPr>
    </w:p>
    <w:p w:rsidR="009839BC" w:rsidRDefault="009839BC" w:rsidP="009839BC">
      <w:pPr>
        <w:bidi w:val="0"/>
        <w:rPr>
          <w:lang w:eastAsia="en-US"/>
        </w:rPr>
      </w:pPr>
    </w:p>
    <w:p w:rsidR="009839BC" w:rsidRDefault="009839BC" w:rsidP="009839BC">
      <w:pPr>
        <w:bidi w:val="0"/>
      </w:pPr>
    </w:p>
    <w:p w:rsidR="009839BC" w:rsidRDefault="009839BC" w:rsidP="009839BC">
      <w:pPr>
        <w:bidi w:val="0"/>
        <w:spacing w:after="200" w:line="276" w:lineRule="auto"/>
        <w:rPr>
          <w:color w:val="000000"/>
          <w:sz w:val="28"/>
          <w:szCs w:val="28"/>
          <w:lang w:val="en-GB"/>
        </w:rPr>
      </w:pPr>
    </w:p>
    <w:p w:rsidR="009839BC" w:rsidRDefault="009839BC" w:rsidP="009839BC">
      <w:pPr>
        <w:bidi w:val="0"/>
        <w:spacing w:line="276" w:lineRule="auto"/>
        <w:jc w:val="center"/>
        <w:rPr>
          <w:color w:val="000000"/>
          <w:sz w:val="28"/>
          <w:szCs w:val="28"/>
          <w:lang w:val="en-GB"/>
        </w:rPr>
      </w:pPr>
    </w:p>
    <w:p w:rsidR="009839BC" w:rsidRDefault="009839BC" w:rsidP="009839BC">
      <w:pPr>
        <w:bidi w:val="0"/>
        <w:jc w:val="center"/>
        <w:rPr>
          <w:lang w:eastAsia="en-US"/>
        </w:rPr>
      </w:pPr>
    </w:p>
    <w:p w:rsidR="009839BC" w:rsidRDefault="009839BC" w:rsidP="009839BC">
      <w:pPr>
        <w:bidi w:val="0"/>
        <w:rPr>
          <w:lang w:eastAsia="en-US"/>
        </w:rPr>
      </w:pPr>
    </w:p>
    <w:p w:rsidR="009839BC" w:rsidRDefault="009839BC" w:rsidP="009839BC">
      <w:pPr>
        <w:bidi w:val="0"/>
      </w:pPr>
    </w:p>
    <w:p w:rsidR="009839BC" w:rsidRDefault="009839BC" w:rsidP="009839BC">
      <w:pPr>
        <w:bidi w:val="0"/>
        <w:spacing w:after="200" w:line="276" w:lineRule="auto"/>
        <w:rPr>
          <w:color w:val="000000"/>
          <w:sz w:val="28"/>
          <w:szCs w:val="28"/>
          <w:lang w:val="en-GB"/>
        </w:rPr>
      </w:pPr>
      <w:bookmarkStart w:id="1" w:name="_GoBack"/>
      <w:bookmarkEnd w:id="1"/>
    </w:p>
    <w:p w:rsidR="009839BC" w:rsidRDefault="009839BC" w:rsidP="009839BC">
      <w:pPr>
        <w:bidi w:val="0"/>
        <w:spacing w:line="276" w:lineRule="auto"/>
        <w:jc w:val="center"/>
        <w:rPr>
          <w:color w:val="000000"/>
          <w:sz w:val="28"/>
          <w:szCs w:val="28"/>
          <w:lang w:val="en-GB"/>
        </w:rPr>
      </w:pPr>
    </w:p>
    <w:p w:rsidR="00574085" w:rsidRPr="009839BC" w:rsidRDefault="00574085" w:rsidP="009839BC">
      <w:pPr>
        <w:bidi w:val="0"/>
        <w:rPr>
          <w:szCs w:val="28"/>
          <w:lang w:val="en-GB"/>
        </w:rPr>
      </w:pPr>
    </w:p>
    <w:sectPr w:rsidR="00574085" w:rsidRPr="009839BC" w:rsidSect="00371679">
      <w:headerReference w:type="default" r:id="rId15"/>
      <w:footerReference w:type="default" r:id="rId16"/>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3BE" w:rsidRDefault="002773BE">
      <w:pPr>
        <w:rPr>
          <w:rtl/>
        </w:rPr>
      </w:pPr>
      <w:r>
        <w:separator/>
      </w:r>
    </w:p>
  </w:endnote>
  <w:endnote w:type="continuationSeparator" w:id="0">
    <w:p w:rsidR="002773BE" w:rsidRDefault="002773BE">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Default="00DA49CA">
    <w:pPr>
      <w:pStyle w:val="Footer"/>
      <w:jc w:val="center"/>
      <w:rPr>
        <w:rtl/>
      </w:rPr>
    </w:pPr>
    <w:r w:rsidRPr="00B175E4">
      <w:rPr>
        <w:color w:val="000000"/>
        <w:sz w:val="24"/>
        <w:szCs w:val="24"/>
      </w:rPr>
      <w:t>]</w:t>
    </w:r>
    <w:fldSimple w:instr=" PAGE   \* MERGEFORMAT ">
      <w:r w:rsidR="006B62D7">
        <w:rPr>
          <w:rtl/>
        </w:rPr>
        <w:t>16</w:t>
      </w:r>
    </w:fldSimple>
    <w:r w:rsidRPr="00B175E4">
      <w:rPr>
        <w:color w:val="000000"/>
        <w:sz w:val="24"/>
        <w:szCs w:val="24"/>
      </w:rPr>
      <w:t>[</w:t>
    </w:r>
  </w:p>
  <w:p w:rsidR="002911CC" w:rsidRDefault="002911CC">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3BE" w:rsidRDefault="002773BE">
      <w:pPr>
        <w:rPr>
          <w:rtl/>
        </w:rPr>
      </w:pPr>
      <w:r>
        <w:separator/>
      </w:r>
    </w:p>
  </w:footnote>
  <w:footnote w:type="continuationSeparator" w:id="0">
    <w:p w:rsidR="002773BE" w:rsidRDefault="002773BE">
      <w:pPr>
        <w:rPr>
          <w:rtl/>
        </w:rPr>
      </w:pPr>
      <w:r>
        <w:continuationSeparator/>
      </w:r>
    </w:p>
  </w:footnote>
  <w:footnote w:id="1">
    <w:p w:rsidR="00F03E89" w:rsidRDefault="00F03E89">
      <w:pPr>
        <w:pStyle w:val="FootnoteText"/>
      </w:pPr>
      <w:r>
        <w:rPr>
          <w:rStyle w:val="FootnoteReference"/>
        </w:rPr>
        <w:footnoteRef/>
      </w:r>
      <w:r>
        <w:t xml:space="preserve"> Include all sources of funding.</w:t>
      </w:r>
    </w:p>
  </w:footnote>
  <w:footnote w:id="2">
    <w:p w:rsidR="00CC2D56" w:rsidRDefault="00CC2D56" w:rsidP="00CC2D56">
      <w:pPr>
        <w:pStyle w:val="FootnoteText"/>
      </w:pPr>
      <w:r>
        <w:rPr>
          <w:rStyle w:val="FootnoteReference"/>
        </w:rPr>
        <w:footnoteRef/>
      </w:r>
      <w:r>
        <w:t xml:space="preserve"> Include g</w:t>
      </w:r>
      <w:r w:rsidRPr="004E7771">
        <w:t xml:space="preserve">ross capital formation in health care </w:t>
      </w:r>
      <w:r>
        <w:t>providers</w:t>
      </w:r>
      <w:r w:rsidRPr="004E7771">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Pr="00F93F69" w:rsidRDefault="002911CC" w:rsidP="00320D61">
    <w:pPr>
      <w:pStyle w:val="Header"/>
      <w:jc w:val="right"/>
      <w:rPr>
        <w:rFonts w:cs="Traditional Arabic"/>
        <w:noProof w:val="0"/>
        <w:sz w:val="16"/>
        <w:szCs w:val="16"/>
        <w:rtl/>
      </w:rPr>
    </w:pPr>
    <w:r w:rsidRPr="00F93F69">
      <w:rPr>
        <w:rFonts w:cs="Traditional Arabic"/>
        <w:noProof w:val="0"/>
        <w:sz w:val="16"/>
        <w:szCs w:val="16"/>
        <w:rtl/>
        <w:lang w:val="ar-SA"/>
      </w:rPr>
      <w:tab/>
    </w:r>
    <w:r w:rsidRPr="00F93F69">
      <w:rPr>
        <w:rFonts w:cs="Traditional Arabic"/>
        <w:noProof w:val="0"/>
        <w:sz w:val="16"/>
        <w:szCs w:val="16"/>
      </w:rPr>
      <w:t xml:space="preserve">PCBS: Statistical Report, </w:t>
    </w:r>
    <w:r w:rsidR="002B62BC">
      <w:rPr>
        <w:rFonts w:cs="Traditional Arabic"/>
        <w:noProof w:val="0"/>
        <w:sz w:val="16"/>
        <w:szCs w:val="16"/>
      </w:rPr>
      <w:t>Palestinian</w:t>
    </w:r>
    <w:r w:rsidR="0009345A">
      <w:rPr>
        <w:rFonts w:cs="Traditional Arabic"/>
        <w:noProof w:val="0"/>
        <w:sz w:val="16"/>
        <w:szCs w:val="16"/>
      </w:rPr>
      <w:t xml:space="preserve"> Health Accounts </w:t>
    </w:r>
    <w:r w:rsidR="00320D61">
      <w:rPr>
        <w:rFonts w:cs="Traditional Arabic"/>
        <w:noProof w:val="0"/>
        <w:sz w:val="16"/>
        <w:szCs w:val="16"/>
      </w:rPr>
      <w:t>2014</w:t>
    </w:r>
  </w:p>
  <w:p w:rsidR="002911CC" w:rsidRDefault="002911CC">
    <w:pPr>
      <w:pStyle w:val="Header"/>
      <w:rPr>
        <w:rFonts w:cs="Traditional Arabic"/>
        <w:noProof w:val="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nsid w:val="10567166"/>
    <w:multiLevelType w:val="hybridMultilevel"/>
    <w:tmpl w:val="1794DF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5E2E44A9"/>
    <w:multiLevelType w:val="hybridMultilevel"/>
    <w:tmpl w:val="B7CA6BD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8">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9">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0">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2">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1"/>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19"/>
  </w:num>
  <w:num w:numId="13">
    <w:abstractNumId w:val="8"/>
  </w:num>
  <w:num w:numId="14">
    <w:abstractNumId w:val="28"/>
  </w:num>
  <w:num w:numId="15">
    <w:abstractNumId w:val="18"/>
  </w:num>
  <w:num w:numId="16">
    <w:abstractNumId w:val="20"/>
  </w:num>
  <w:num w:numId="17">
    <w:abstractNumId w:val="40"/>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6"/>
  </w:num>
  <w:num w:numId="26">
    <w:abstractNumId w:val="37"/>
  </w:num>
  <w:num w:numId="27">
    <w:abstractNumId w:val="5"/>
  </w:num>
  <w:num w:numId="28">
    <w:abstractNumId w:val="3"/>
  </w:num>
  <w:num w:numId="29">
    <w:abstractNumId w:val="29"/>
  </w:num>
  <w:num w:numId="30">
    <w:abstractNumId w:val="39"/>
  </w:num>
  <w:num w:numId="31">
    <w:abstractNumId w:val="7"/>
  </w:num>
  <w:num w:numId="32">
    <w:abstractNumId w:val="30"/>
  </w:num>
  <w:num w:numId="33">
    <w:abstractNumId w:val="38"/>
  </w:num>
  <w:num w:numId="34">
    <w:abstractNumId w:val="17"/>
  </w:num>
  <w:num w:numId="35">
    <w:abstractNumId w:val="11"/>
  </w:num>
  <w:num w:numId="36">
    <w:abstractNumId w:val="34"/>
  </w:num>
  <w:num w:numId="37">
    <w:abstractNumId w:val="42"/>
  </w:num>
  <w:num w:numId="38">
    <w:abstractNumId w:val="13"/>
  </w:num>
  <w:num w:numId="39">
    <w:abstractNumId w:val="2"/>
  </w:num>
  <w:num w:numId="40">
    <w:abstractNumId w:val="35"/>
  </w:num>
  <w:num w:numId="41">
    <w:abstractNumId w:val="21"/>
  </w:num>
  <w:num w:numId="42">
    <w:abstractNumId w:val="33"/>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0622F"/>
    <w:rsid w:val="00010A5D"/>
    <w:rsid w:val="00012407"/>
    <w:rsid w:val="00014FB6"/>
    <w:rsid w:val="00016F8F"/>
    <w:rsid w:val="0002074B"/>
    <w:rsid w:val="00026116"/>
    <w:rsid w:val="00031C79"/>
    <w:rsid w:val="00031F69"/>
    <w:rsid w:val="00033826"/>
    <w:rsid w:val="00033D9B"/>
    <w:rsid w:val="000412FA"/>
    <w:rsid w:val="000418A8"/>
    <w:rsid w:val="00042C78"/>
    <w:rsid w:val="000438CC"/>
    <w:rsid w:val="000443CC"/>
    <w:rsid w:val="00044D63"/>
    <w:rsid w:val="00047731"/>
    <w:rsid w:val="000479F6"/>
    <w:rsid w:val="000533AB"/>
    <w:rsid w:val="00053DC6"/>
    <w:rsid w:val="00061AA1"/>
    <w:rsid w:val="0006359D"/>
    <w:rsid w:val="00064DD6"/>
    <w:rsid w:val="00072A39"/>
    <w:rsid w:val="00072CB8"/>
    <w:rsid w:val="000745F8"/>
    <w:rsid w:val="0007519A"/>
    <w:rsid w:val="00077F37"/>
    <w:rsid w:val="00082DF6"/>
    <w:rsid w:val="00085404"/>
    <w:rsid w:val="0009098A"/>
    <w:rsid w:val="00091401"/>
    <w:rsid w:val="00092FC1"/>
    <w:rsid w:val="0009345A"/>
    <w:rsid w:val="0009421E"/>
    <w:rsid w:val="000A4329"/>
    <w:rsid w:val="000B2A76"/>
    <w:rsid w:val="000B342A"/>
    <w:rsid w:val="000B52BB"/>
    <w:rsid w:val="000C3D1B"/>
    <w:rsid w:val="000D2012"/>
    <w:rsid w:val="000D2041"/>
    <w:rsid w:val="000D73E4"/>
    <w:rsid w:val="000E39CF"/>
    <w:rsid w:val="000E54C7"/>
    <w:rsid w:val="000E5A3D"/>
    <w:rsid w:val="000F1389"/>
    <w:rsid w:val="000F4520"/>
    <w:rsid w:val="000F5302"/>
    <w:rsid w:val="00100375"/>
    <w:rsid w:val="00101C80"/>
    <w:rsid w:val="00101F49"/>
    <w:rsid w:val="00105F98"/>
    <w:rsid w:val="00106EFF"/>
    <w:rsid w:val="00113765"/>
    <w:rsid w:val="00114267"/>
    <w:rsid w:val="001148E0"/>
    <w:rsid w:val="00121B49"/>
    <w:rsid w:val="00124D8E"/>
    <w:rsid w:val="00126384"/>
    <w:rsid w:val="00131C52"/>
    <w:rsid w:val="00133A95"/>
    <w:rsid w:val="001363DE"/>
    <w:rsid w:val="00140214"/>
    <w:rsid w:val="00140C95"/>
    <w:rsid w:val="00142AA9"/>
    <w:rsid w:val="00145951"/>
    <w:rsid w:val="001543F6"/>
    <w:rsid w:val="00155AD5"/>
    <w:rsid w:val="001561AD"/>
    <w:rsid w:val="00162AFC"/>
    <w:rsid w:val="001636E1"/>
    <w:rsid w:val="00165C4C"/>
    <w:rsid w:val="001661F2"/>
    <w:rsid w:val="00166CB0"/>
    <w:rsid w:val="00167596"/>
    <w:rsid w:val="00167AB9"/>
    <w:rsid w:val="00167C68"/>
    <w:rsid w:val="00167EE0"/>
    <w:rsid w:val="0017070D"/>
    <w:rsid w:val="0017072C"/>
    <w:rsid w:val="00175842"/>
    <w:rsid w:val="0017749D"/>
    <w:rsid w:val="0018065C"/>
    <w:rsid w:val="00181D41"/>
    <w:rsid w:val="0018561B"/>
    <w:rsid w:val="00186EFB"/>
    <w:rsid w:val="001910ED"/>
    <w:rsid w:val="00194DB2"/>
    <w:rsid w:val="00194F4D"/>
    <w:rsid w:val="001953FF"/>
    <w:rsid w:val="0019728F"/>
    <w:rsid w:val="001A039D"/>
    <w:rsid w:val="001A07EB"/>
    <w:rsid w:val="001A0D1B"/>
    <w:rsid w:val="001A116B"/>
    <w:rsid w:val="001A2BD1"/>
    <w:rsid w:val="001A39FA"/>
    <w:rsid w:val="001A5377"/>
    <w:rsid w:val="001A57CB"/>
    <w:rsid w:val="001A58DC"/>
    <w:rsid w:val="001B2215"/>
    <w:rsid w:val="001B4F77"/>
    <w:rsid w:val="001B68FA"/>
    <w:rsid w:val="001C0065"/>
    <w:rsid w:val="001C0A2B"/>
    <w:rsid w:val="001C2184"/>
    <w:rsid w:val="001C291C"/>
    <w:rsid w:val="001C349C"/>
    <w:rsid w:val="001C4BF5"/>
    <w:rsid w:val="001C4F9B"/>
    <w:rsid w:val="001C55C6"/>
    <w:rsid w:val="001D0FD7"/>
    <w:rsid w:val="001D12F1"/>
    <w:rsid w:val="001D18ED"/>
    <w:rsid w:val="001D2088"/>
    <w:rsid w:val="001D2411"/>
    <w:rsid w:val="001D308A"/>
    <w:rsid w:val="001D5B0D"/>
    <w:rsid w:val="001D6C52"/>
    <w:rsid w:val="001E092A"/>
    <w:rsid w:val="001F4AC7"/>
    <w:rsid w:val="001F72FA"/>
    <w:rsid w:val="001F7B30"/>
    <w:rsid w:val="00200D1F"/>
    <w:rsid w:val="00201B09"/>
    <w:rsid w:val="00202903"/>
    <w:rsid w:val="00202984"/>
    <w:rsid w:val="00204A68"/>
    <w:rsid w:val="00204C1F"/>
    <w:rsid w:val="002059D7"/>
    <w:rsid w:val="00205D46"/>
    <w:rsid w:val="00207385"/>
    <w:rsid w:val="00212DFE"/>
    <w:rsid w:val="002143AD"/>
    <w:rsid w:val="00221E7A"/>
    <w:rsid w:val="00226008"/>
    <w:rsid w:val="002261C1"/>
    <w:rsid w:val="00233F85"/>
    <w:rsid w:val="00240690"/>
    <w:rsid w:val="00240F65"/>
    <w:rsid w:val="00245970"/>
    <w:rsid w:val="00250741"/>
    <w:rsid w:val="00250EC4"/>
    <w:rsid w:val="0025374E"/>
    <w:rsid w:val="0025535C"/>
    <w:rsid w:val="00256AF5"/>
    <w:rsid w:val="00262D19"/>
    <w:rsid w:val="00263E38"/>
    <w:rsid w:val="002656AB"/>
    <w:rsid w:val="00265EE1"/>
    <w:rsid w:val="00271DDE"/>
    <w:rsid w:val="00273579"/>
    <w:rsid w:val="00274AE2"/>
    <w:rsid w:val="00274CDD"/>
    <w:rsid w:val="002773BE"/>
    <w:rsid w:val="00277E3C"/>
    <w:rsid w:val="00282233"/>
    <w:rsid w:val="002828A4"/>
    <w:rsid w:val="00283305"/>
    <w:rsid w:val="002834FB"/>
    <w:rsid w:val="00283E67"/>
    <w:rsid w:val="00285F0E"/>
    <w:rsid w:val="002911CC"/>
    <w:rsid w:val="002919BA"/>
    <w:rsid w:val="002939A2"/>
    <w:rsid w:val="002961B3"/>
    <w:rsid w:val="002A083B"/>
    <w:rsid w:val="002A1830"/>
    <w:rsid w:val="002A28E0"/>
    <w:rsid w:val="002A2BF6"/>
    <w:rsid w:val="002B3C03"/>
    <w:rsid w:val="002B62BC"/>
    <w:rsid w:val="002B6CA7"/>
    <w:rsid w:val="002C5E54"/>
    <w:rsid w:val="002C6380"/>
    <w:rsid w:val="002D2008"/>
    <w:rsid w:val="002D3AB6"/>
    <w:rsid w:val="002D3EFB"/>
    <w:rsid w:val="002D41F7"/>
    <w:rsid w:val="002D49F8"/>
    <w:rsid w:val="002D6B5E"/>
    <w:rsid w:val="002E11A6"/>
    <w:rsid w:val="002E395A"/>
    <w:rsid w:val="002E46CE"/>
    <w:rsid w:val="002F05F8"/>
    <w:rsid w:val="002F2962"/>
    <w:rsid w:val="002F318C"/>
    <w:rsid w:val="002F7B54"/>
    <w:rsid w:val="00303B5E"/>
    <w:rsid w:val="00305CF3"/>
    <w:rsid w:val="00307021"/>
    <w:rsid w:val="00310174"/>
    <w:rsid w:val="00312B4D"/>
    <w:rsid w:val="00317076"/>
    <w:rsid w:val="003172C0"/>
    <w:rsid w:val="00320D61"/>
    <w:rsid w:val="00324ED6"/>
    <w:rsid w:val="00325A5F"/>
    <w:rsid w:val="00325AF5"/>
    <w:rsid w:val="00333049"/>
    <w:rsid w:val="00333EFE"/>
    <w:rsid w:val="0033513C"/>
    <w:rsid w:val="003421BC"/>
    <w:rsid w:val="00343C0B"/>
    <w:rsid w:val="00344B8D"/>
    <w:rsid w:val="00346688"/>
    <w:rsid w:val="00347AAB"/>
    <w:rsid w:val="00351347"/>
    <w:rsid w:val="003567D8"/>
    <w:rsid w:val="00356DBD"/>
    <w:rsid w:val="00364935"/>
    <w:rsid w:val="00366841"/>
    <w:rsid w:val="003677CB"/>
    <w:rsid w:val="00371679"/>
    <w:rsid w:val="003805AA"/>
    <w:rsid w:val="00384DC7"/>
    <w:rsid w:val="00385D54"/>
    <w:rsid w:val="00394153"/>
    <w:rsid w:val="00394E77"/>
    <w:rsid w:val="003A2872"/>
    <w:rsid w:val="003A42F3"/>
    <w:rsid w:val="003A6638"/>
    <w:rsid w:val="003A6B87"/>
    <w:rsid w:val="003B32E9"/>
    <w:rsid w:val="003B3868"/>
    <w:rsid w:val="003B6A81"/>
    <w:rsid w:val="003B753B"/>
    <w:rsid w:val="003B776C"/>
    <w:rsid w:val="003C0D38"/>
    <w:rsid w:val="003C1B92"/>
    <w:rsid w:val="003C79D1"/>
    <w:rsid w:val="003D03EC"/>
    <w:rsid w:val="003D2659"/>
    <w:rsid w:val="003D2BF4"/>
    <w:rsid w:val="003D5AE2"/>
    <w:rsid w:val="003D7F88"/>
    <w:rsid w:val="003E09EB"/>
    <w:rsid w:val="003F2435"/>
    <w:rsid w:val="003F603F"/>
    <w:rsid w:val="004014B2"/>
    <w:rsid w:val="004045E3"/>
    <w:rsid w:val="004076BF"/>
    <w:rsid w:val="00410A58"/>
    <w:rsid w:val="00414303"/>
    <w:rsid w:val="004172CA"/>
    <w:rsid w:val="004203EA"/>
    <w:rsid w:val="00420738"/>
    <w:rsid w:val="00420992"/>
    <w:rsid w:val="004303EB"/>
    <w:rsid w:val="004323BD"/>
    <w:rsid w:val="00440762"/>
    <w:rsid w:val="00441BCC"/>
    <w:rsid w:val="00445E27"/>
    <w:rsid w:val="00450450"/>
    <w:rsid w:val="00454526"/>
    <w:rsid w:val="00455D59"/>
    <w:rsid w:val="00457657"/>
    <w:rsid w:val="00457892"/>
    <w:rsid w:val="004638F7"/>
    <w:rsid w:val="00467A2A"/>
    <w:rsid w:val="00471E25"/>
    <w:rsid w:val="00476C8E"/>
    <w:rsid w:val="004819E9"/>
    <w:rsid w:val="004841AD"/>
    <w:rsid w:val="004846DE"/>
    <w:rsid w:val="00484991"/>
    <w:rsid w:val="00487F29"/>
    <w:rsid w:val="004925FD"/>
    <w:rsid w:val="004971F3"/>
    <w:rsid w:val="00497730"/>
    <w:rsid w:val="004A057C"/>
    <w:rsid w:val="004A2F0D"/>
    <w:rsid w:val="004A5A6E"/>
    <w:rsid w:val="004B4D59"/>
    <w:rsid w:val="004C7244"/>
    <w:rsid w:val="004D1D39"/>
    <w:rsid w:val="004D4E7E"/>
    <w:rsid w:val="004D5F1D"/>
    <w:rsid w:val="004D789C"/>
    <w:rsid w:val="004D7B94"/>
    <w:rsid w:val="004E3E9A"/>
    <w:rsid w:val="004E5A11"/>
    <w:rsid w:val="004E7771"/>
    <w:rsid w:val="004E7DCB"/>
    <w:rsid w:val="004F2484"/>
    <w:rsid w:val="004F3CAB"/>
    <w:rsid w:val="00502A6E"/>
    <w:rsid w:val="00510614"/>
    <w:rsid w:val="00510BC2"/>
    <w:rsid w:val="00511050"/>
    <w:rsid w:val="00511F4A"/>
    <w:rsid w:val="005168EC"/>
    <w:rsid w:val="00516F6A"/>
    <w:rsid w:val="00517F63"/>
    <w:rsid w:val="00527D3A"/>
    <w:rsid w:val="005351C3"/>
    <w:rsid w:val="00544CB8"/>
    <w:rsid w:val="00547CB6"/>
    <w:rsid w:val="00555D48"/>
    <w:rsid w:val="00557F48"/>
    <w:rsid w:val="00561508"/>
    <w:rsid w:val="0056369E"/>
    <w:rsid w:val="00566A31"/>
    <w:rsid w:val="0056796D"/>
    <w:rsid w:val="00567FCB"/>
    <w:rsid w:val="00571099"/>
    <w:rsid w:val="00571241"/>
    <w:rsid w:val="00574085"/>
    <w:rsid w:val="00574AEB"/>
    <w:rsid w:val="00577B17"/>
    <w:rsid w:val="0058055A"/>
    <w:rsid w:val="00584CC7"/>
    <w:rsid w:val="005901B5"/>
    <w:rsid w:val="005903CB"/>
    <w:rsid w:val="00591F84"/>
    <w:rsid w:val="0059420E"/>
    <w:rsid w:val="00595E2D"/>
    <w:rsid w:val="005A1D1C"/>
    <w:rsid w:val="005C1E2E"/>
    <w:rsid w:val="005C26BC"/>
    <w:rsid w:val="005C3881"/>
    <w:rsid w:val="005C6405"/>
    <w:rsid w:val="005C64E7"/>
    <w:rsid w:val="005C6946"/>
    <w:rsid w:val="005D28BC"/>
    <w:rsid w:val="005D3CDA"/>
    <w:rsid w:val="005E1595"/>
    <w:rsid w:val="005E1C8F"/>
    <w:rsid w:val="005E3A70"/>
    <w:rsid w:val="005E61C7"/>
    <w:rsid w:val="005E7041"/>
    <w:rsid w:val="005F18C1"/>
    <w:rsid w:val="005F4A07"/>
    <w:rsid w:val="006030FA"/>
    <w:rsid w:val="00603F37"/>
    <w:rsid w:val="00606AB3"/>
    <w:rsid w:val="00607FD0"/>
    <w:rsid w:val="006115D4"/>
    <w:rsid w:val="00613B4F"/>
    <w:rsid w:val="00614C1C"/>
    <w:rsid w:val="006203DB"/>
    <w:rsid w:val="006249A1"/>
    <w:rsid w:val="00624A6A"/>
    <w:rsid w:val="00626BCD"/>
    <w:rsid w:val="0063157F"/>
    <w:rsid w:val="006318DA"/>
    <w:rsid w:val="00643554"/>
    <w:rsid w:val="00644D95"/>
    <w:rsid w:val="006505A4"/>
    <w:rsid w:val="00652B5B"/>
    <w:rsid w:val="00662D03"/>
    <w:rsid w:val="006733D1"/>
    <w:rsid w:val="0067678C"/>
    <w:rsid w:val="006769C1"/>
    <w:rsid w:val="00684469"/>
    <w:rsid w:val="00684A61"/>
    <w:rsid w:val="00685459"/>
    <w:rsid w:val="00687AC1"/>
    <w:rsid w:val="00693CEF"/>
    <w:rsid w:val="00695419"/>
    <w:rsid w:val="006A412F"/>
    <w:rsid w:val="006A64B5"/>
    <w:rsid w:val="006B2DE3"/>
    <w:rsid w:val="006B35C6"/>
    <w:rsid w:val="006B36C5"/>
    <w:rsid w:val="006B3C22"/>
    <w:rsid w:val="006B4D77"/>
    <w:rsid w:val="006B576C"/>
    <w:rsid w:val="006B62D7"/>
    <w:rsid w:val="006C35D8"/>
    <w:rsid w:val="006C55DE"/>
    <w:rsid w:val="006D03FB"/>
    <w:rsid w:val="006E0883"/>
    <w:rsid w:val="006E4F0E"/>
    <w:rsid w:val="006E5F5E"/>
    <w:rsid w:val="006F217F"/>
    <w:rsid w:val="006F3F9D"/>
    <w:rsid w:val="006F473A"/>
    <w:rsid w:val="006F5182"/>
    <w:rsid w:val="006F6FC8"/>
    <w:rsid w:val="00700A38"/>
    <w:rsid w:val="0070346B"/>
    <w:rsid w:val="00704694"/>
    <w:rsid w:val="00706865"/>
    <w:rsid w:val="007069C9"/>
    <w:rsid w:val="00707489"/>
    <w:rsid w:val="00713BA3"/>
    <w:rsid w:val="0073555C"/>
    <w:rsid w:val="00735ABF"/>
    <w:rsid w:val="00737729"/>
    <w:rsid w:val="0074293E"/>
    <w:rsid w:val="007451BD"/>
    <w:rsid w:val="007607DC"/>
    <w:rsid w:val="00763A85"/>
    <w:rsid w:val="007740C9"/>
    <w:rsid w:val="00774305"/>
    <w:rsid w:val="00774393"/>
    <w:rsid w:val="007772F3"/>
    <w:rsid w:val="007821C3"/>
    <w:rsid w:val="0078253E"/>
    <w:rsid w:val="00782863"/>
    <w:rsid w:val="007918A0"/>
    <w:rsid w:val="007921BB"/>
    <w:rsid w:val="00794DF5"/>
    <w:rsid w:val="007A1056"/>
    <w:rsid w:val="007A11DA"/>
    <w:rsid w:val="007A28DD"/>
    <w:rsid w:val="007A2EC2"/>
    <w:rsid w:val="007A469D"/>
    <w:rsid w:val="007B122F"/>
    <w:rsid w:val="007B183A"/>
    <w:rsid w:val="007B42F8"/>
    <w:rsid w:val="007B46F1"/>
    <w:rsid w:val="007B6BA4"/>
    <w:rsid w:val="007B6EC8"/>
    <w:rsid w:val="007B7467"/>
    <w:rsid w:val="007B7F16"/>
    <w:rsid w:val="007B7FB5"/>
    <w:rsid w:val="007C6327"/>
    <w:rsid w:val="007C68C1"/>
    <w:rsid w:val="007D0E39"/>
    <w:rsid w:val="007D1F0A"/>
    <w:rsid w:val="007D3514"/>
    <w:rsid w:val="007E0E51"/>
    <w:rsid w:val="007E47FE"/>
    <w:rsid w:val="007E5F8E"/>
    <w:rsid w:val="007E669B"/>
    <w:rsid w:val="007F47C4"/>
    <w:rsid w:val="007F64FC"/>
    <w:rsid w:val="007F6C7E"/>
    <w:rsid w:val="007F7A67"/>
    <w:rsid w:val="008019F8"/>
    <w:rsid w:val="00803BE6"/>
    <w:rsid w:val="00803CE9"/>
    <w:rsid w:val="00804817"/>
    <w:rsid w:val="008048DB"/>
    <w:rsid w:val="00805C6B"/>
    <w:rsid w:val="00805E51"/>
    <w:rsid w:val="008137CC"/>
    <w:rsid w:val="00815514"/>
    <w:rsid w:val="00823084"/>
    <w:rsid w:val="008230B5"/>
    <w:rsid w:val="00823652"/>
    <w:rsid w:val="00833006"/>
    <w:rsid w:val="0083324D"/>
    <w:rsid w:val="008334FE"/>
    <w:rsid w:val="008358A0"/>
    <w:rsid w:val="008432F0"/>
    <w:rsid w:val="00845089"/>
    <w:rsid w:val="00846479"/>
    <w:rsid w:val="00846983"/>
    <w:rsid w:val="00846DFF"/>
    <w:rsid w:val="00850FA2"/>
    <w:rsid w:val="00852D21"/>
    <w:rsid w:val="00854DBD"/>
    <w:rsid w:val="00855B3E"/>
    <w:rsid w:val="00862A99"/>
    <w:rsid w:val="00863CFB"/>
    <w:rsid w:val="00865BD6"/>
    <w:rsid w:val="00865BE1"/>
    <w:rsid w:val="00871A67"/>
    <w:rsid w:val="00875195"/>
    <w:rsid w:val="00876EFA"/>
    <w:rsid w:val="0087738B"/>
    <w:rsid w:val="00887E20"/>
    <w:rsid w:val="0089026C"/>
    <w:rsid w:val="0089387D"/>
    <w:rsid w:val="00893AAC"/>
    <w:rsid w:val="008946D4"/>
    <w:rsid w:val="00895650"/>
    <w:rsid w:val="008976C7"/>
    <w:rsid w:val="008A0FA8"/>
    <w:rsid w:val="008A14EC"/>
    <w:rsid w:val="008A3301"/>
    <w:rsid w:val="008B3FE2"/>
    <w:rsid w:val="008B4057"/>
    <w:rsid w:val="008B4D0F"/>
    <w:rsid w:val="008B72B8"/>
    <w:rsid w:val="008C2D50"/>
    <w:rsid w:val="008C7765"/>
    <w:rsid w:val="008E34A3"/>
    <w:rsid w:val="008F5F49"/>
    <w:rsid w:val="00901D30"/>
    <w:rsid w:val="00903C0C"/>
    <w:rsid w:val="00910462"/>
    <w:rsid w:val="00911B35"/>
    <w:rsid w:val="009150D9"/>
    <w:rsid w:val="00921863"/>
    <w:rsid w:val="00924573"/>
    <w:rsid w:val="00925020"/>
    <w:rsid w:val="00930720"/>
    <w:rsid w:val="0093237A"/>
    <w:rsid w:val="009324F2"/>
    <w:rsid w:val="0093268F"/>
    <w:rsid w:val="0093444D"/>
    <w:rsid w:val="00934479"/>
    <w:rsid w:val="009410B7"/>
    <w:rsid w:val="00941294"/>
    <w:rsid w:val="009427C8"/>
    <w:rsid w:val="009432FB"/>
    <w:rsid w:val="00944E38"/>
    <w:rsid w:val="009452F3"/>
    <w:rsid w:val="00947182"/>
    <w:rsid w:val="00950733"/>
    <w:rsid w:val="009615D8"/>
    <w:rsid w:val="00961FAC"/>
    <w:rsid w:val="00961FB1"/>
    <w:rsid w:val="00962564"/>
    <w:rsid w:val="00962F88"/>
    <w:rsid w:val="0098309D"/>
    <w:rsid w:val="009839BC"/>
    <w:rsid w:val="00986A1D"/>
    <w:rsid w:val="00992D09"/>
    <w:rsid w:val="00994714"/>
    <w:rsid w:val="00995105"/>
    <w:rsid w:val="00997FE6"/>
    <w:rsid w:val="009A2544"/>
    <w:rsid w:val="009A2B3B"/>
    <w:rsid w:val="009A585B"/>
    <w:rsid w:val="009A708A"/>
    <w:rsid w:val="009B2307"/>
    <w:rsid w:val="009C1A70"/>
    <w:rsid w:val="009C73CD"/>
    <w:rsid w:val="009D0EE6"/>
    <w:rsid w:val="009D13D8"/>
    <w:rsid w:val="009D2AAF"/>
    <w:rsid w:val="009D40FF"/>
    <w:rsid w:val="009D55B2"/>
    <w:rsid w:val="009D5A64"/>
    <w:rsid w:val="009D5D4C"/>
    <w:rsid w:val="009D7882"/>
    <w:rsid w:val="009E2912"/>
    <w:rsid w:val="009E3012"/>
    <w:rsid w:val="009E48C2"/>
    <w:rsid w:val="009E53B6"/>
    <w:rsid w:val="009F5D2E"/>
    <w:rsid w:val="009F7C08"/>
    <w:rsid w:val="00A05FC4"/>
    <w:rsid w:val="00A05FE1"/>
    <w:rsid w:val="00A14447"/>
    <w:rsid w:val="00A1553B"/>
    <w:rsid w:val="00A17463"/>
    <w:rsid w:val="00A212C3"/>
    <w:rsid w:val="00A2136B"/>
    <w:rsid w:val="00A21672"/>
    <w:rsid w:val="00A21F8B"/>
    <w:rsid w:val="00A22441"/>
    <w:rsid w:val="00A25FAA"/>
    <w:rsid w:val="00A2634B"/>
    <w:rsid w:val="00A279B6"/>
    <w:rsid w:val="00A32629"/>
    <w:rsid w:val="00A32D2C"/>
    <w:rsid w:val="00A3514E"/>
    <w:rsid w:val="00A36324"/>
    <w:rsid w:val="00A36A10"/>
    <w:rsid w:val="00A37F92"/>
    <w:rsid w:val="00A40DD3"/>
    <w:rsid w:val="00A43FD4"/>
    <w:rsid w:val="00A44AE3"/>
    <w:rsid w:val="00A45D80"/>
    <w:rsid w:val="00A47A36"/>
    <w:rsid w:val="00A5009D"/>
    <w:rsid w:val="00A53318"/>
    <w:rsid w:val="00A63672"/>
    <w:rsid w:val="00A6400B"/>
    <w:rsid w:val="00A64802"/>
    <w:rsid w:val="00A70B99"/>
    <w:rsid w:val="00A71772"/>
    <w:rsid w:val="00A7374C"/>
    <w:rsid w:val="00A7641C"/>
    <w:rsid w:val="00A76C1E"/>
    <w:rsid w:val="00A82DE6"/>
    <w:rsid w:val="00A82F24"/>
    <w:rsid w:val="00A86D61"/>
    <w:rsid w:val="00AA1BCD"/>
    <w:rsid w:val="00AA38D5"/>
    <w:rsid w:val="00AA5CA4"/>
    <w:rsid w:val="00AA756E"/>
    <w:rsid w:val="00AB0969"/>
    <w:rsid w:val="00AB1446"/>
    <w:rsid w:val="00AB15EE"/>
    <w:rsid w:val="00AB2380"/>
    <w:rsid w:val="00AB41BE"/>
    <w:rsid w:val="00AC0550"/>
    <w:rsid w:val="00AC0BC3"/>
    <w:rsid w:val="00AC14F8"/>
    <w:rsid w:val="00AC2C8C"/>
    <w:rsid w:val="00AC3D17"/>
    <w:rsid w:val="00AC3D1D"/>
    <w:rsid w:val="00AC44E3"/>
    <w:rsid w:val="00AC645F"/>
    <w:rsid w:val="00AC6D6D"/>
    <w:rsid w:val="00AD3E8A"/>
    <w:rsid w:val="00AE4154"/>
    <w:rsid w:val="00AF04C4"/>
    <w:rsid w:val="00AF0A94"/>
    <w:rsid w:val="00AF6FA7"/>
    <w:rsid w:val="00AF7DC1"/>
    <w:rsid w:val="00B01D79"/>
    <w:rsid w:val="00B02416"/>
    <w:rsid w:val="00B05710"/>
    <w:rsid w:val="00B108F8"/>
    <w:rsid w:val="00B16A93"/>
    <w:rsid w:val="00B21C9F"/>
    <w:rsid w:val="00B24BF0"/>
    <w:rsid w:val="00B31092"/>
    <w:rsid w:val="00B3343C"/>
    <w:rsid w:val="00B41184"/>
    <w:rsid w:val="00B415D7"/>
    <w:rsid w:val="00B42318"/>
    <w:rsid w:val="00B42D70"/>
    <w:rsid w:val="00B42E90"/>
    <w:rsid w:val="00B43BC6"/>
    <w:rsid w:val="00B464DD"/>
    <w:rsid w:val="00B509E3"/>
    <w:rsid w:val="00B51EAA"/>
    <w:rsid w:val="00B524FE"/>
    <w:rsid w:val="00B54C84"/>
    <w:rsid w:val="00B564EB"/>
    <w:rsid w:val="00B57077"/>
    <w:rsid w:val="00B62772"/>
    <w:rsid w:val="00B6372B"/>
    <w:rsid w:val="00B642AF"/>
    <w:rsid w:val="00B661CD"/>
    <w:rsid w:val="00B72DD5"/>
    <w:rsid w:val="00B755A0"/>
    <w:rsid w:val="00B76A7D"/>
    <w:rsid w:val="00B81426"/>
    <w:rsid w:val="00B8157E"/>
    <w:rsid w:val="00B82469"/>
    <w:rsid w:val="00B84681"/>
    <w:rsid w:val="00BA0B0C"/>
    <w:rsid w:val="00BA396E"/>
    <w:rsid w:val="00BA56F3"/>
    <w:rsid w:val="00BA76F4"/>
    <w:rsid w:val="00BB024B"/>
    <w:rsid w:val="00BB58E4"/>
    <w:rsid w:val="00BC0081"/>
    <w:rsid w:val="00BC727F"/>
    <w:rsid w:val="00BD030B"/>
    <w:rsid w:val="00BD1B72"/>
    <w:rsid w:val="00BD26FB"/>
    <w:rsid w:val="00BD3E87"/>
    <w:rsid w:val="00BD56B2"/>
    <w:rsid w:val="00BE373C"/>
    <w:rsid w:val="00BE3B9F"/>
    <w:rsid w:val="00BE68CE"/>
    <w:rsid w:val="00BE748D"/>
    <w:rsid w:val="00BF4D13"/>
    <w:rsid w:val="00C00396"/>
    <w:rsid w:val="00C04DD1"/>
    <w:rsid w:val="00C17197"/>
    <w:rsid w:val="00C20115"/>
    <w:rsid w:val="00C21BF1"/>
    <w:rsid w:val="00C23172"/>
    <w:rsid w:val="00C23C0B"/>
    <w:rsid w:val="00C2630A"/>
    <w:rsid w:val="00C2669B"/>
    <w:rsid w:val="00C26E95"/>
    <w:rsid w:val="00C32E05"/>
    <w:rsid w:val="00C352C4"/>
    <w:rsid w:val="00C356E4"/>
    <w:rsid w:val="00C41089"/>
    <w:rsid w:val="00C41FBD"/>
    <w:rsid w:val="00C436B8"/>
    <w:rsid w:val="00C45A2E"/>
    <w:rsid w:val="00C506BC"/>
    <w:rsid w:val="00C5094F"/>
    <w:rsid w:val="00C50A00"/>
    <w:rsid w:val="00C52C7F"/>
    <w:rsid w:val="00C54844"/>
    <w:rsid w:val="00C606EB"/>
    <w:rsid w:val="00C67BD2"/>
    <w:rsid w:val="00C7277D"/>
    <w:rsid w:val="00C7490A"/>
    <w:rsid w:val="00C76FAC"/>
    <w:rsid w:val="00C80991"/>
    <w:rsid w:val="00C85AC8"/>
    <w:rsid w:val="00C87279"/>
    <w:rsid w:val="00C9116D"/>
    <w:rsid w:val="00C91B85"/>
    <w:rsid w:val="00C93113"/>
    <w:rsid w:val="00C961DA"/>
    <w:rsid w:val="00C971E1"/>
    <w:rsid w:val="00CA60D7"/>
    <w:rsid w:val="00CA71DD"/>
    <w:rsid w:val="00CC1A00"/>
    <w:rsid w:val="00CC1BE4"/>
    <w:rsid w:val="00CC2AF9"/>
    <w:rsid w:val="00CC2D56"/>
    <w:rsid w:val="00CC2FBC"/>
    <w:rsid w:val="00CD7711"/>
    <w:rsid w:val="00CD7BBD"/>
    <w:rsid w:val="00CE040C"/>
    <w:rsid w:val="00CE1255"/>
    <w:rsid w:val="00CE5642"/>
    <w:rsid w:val="00CE5AF9"/>
    <w:rsid w:val="00CF73D9"/>
    <w:rsid w:val="00D0090F"/>
    <w:rsid w:val="00D042CC"/>
    <w:rsid w:val="00D04492"/>
    <w:rsid w:val="00D044F2"/>
    <w:rsid w:val="00D04709"/>
    <w:rsid w:val="00D068BA"/>
    <w:rsid w:val="00D10A80"/>
    <w:rsid w:val="00D12FC5"/>
    <w:rsid w:val="00D20381"/>
    <w:rsid w:val="00D27D96"/>
    <w:rsid w:val="00D31B29"/>
    <w:rsid w:val="00D32C10"/>
    <w:rsid w:val="00D34438"/>
    <w:rsid w:val="00D346CC"/>
    <w:rsid w:val="00D34786"/>
    <w:rsid w:val="00D435EC"/>
    <w:rsid w:val="00D4568B"/>
    <w:rsid w:val="00D456FB"/>
    <w:rsid w:val="00D45F5D"/>
    <w:rsid w:val="00D47C6D"/>
    <w:rsid w:val="00D52740"/>
    <w:rsid w:val="00D52983"/>
    <w:rsid w:val="00D53578"/>
    <w:rsid w:val="00D53D79"/>
    <w:rsid w:val="00D54DAB"/>
    <w:rsid w:val="00D5686F"/>
    <w:rsid w:val="00D60323"/>
    <w:rsid w:val="00D60755"/>
    <w:rsid w:val="00D613CE"/>
    <w:rsid w:val="00D62BFF"/>
    <w:rsid w:val="00D65B76"/>
    <w:rsid w:val="00D71FE3"/>
    <w:rsid w:val="00D815F0"/>
    <w:rsid w:val="00D861DF"/>
    <w:rsid w:val="00D86C2A"/>
    <w:rsid w:val="00D873B3"/>
    <w:rsid w:val="00D9007E"/>
    <w:rsid w:val="00D9009D"/>
    <w:rsid w:val="00D90989"/>
    <w:rsid w:val="00D928DE"/>
    <w:rsid w:val="00D95C02"/>
    <w:rsid w:val="00D9685E"/>
    <w:rsid w:val="00DA0126"/>
    <w:rsid w:val="00DA49CA"/>
    <w:rsid w:val="00DA4BDB"/>
    <w:rsid w:val="00DB1372"/>
    <w:rsid w:val="00DB59BE"/>
    <w:rsid w:val="00DB668B"/>
    <w:rsid w:val="00DC1A03"/>
    <w:rsid w:val="00DC3AE1"/>
    <w:rsid w:val="00DC43B1"/>
    <w:rsid w:val="00DC5EC9"/>
    <w:rsid w:val="00DD6DB8"/>
    <w:rsid w:val="00DE0A1C"/>
    <w:rsid w:val="00DE5D88"/>
    <w:rsid w:val="00DE6335"/>
    <w:rsid w:val="00DF0786"/>
    <w:rsid w:val="00DF093C"/>
    <w:rsid w:val="00DF3616"/>
    <w:rsid w:val="00DF59BC"/>
    <w:rsid w:val="00DF65E5"/>
    <w:rsid w:val="00DF6E65"/>
    <w:rsid w:val="00E01296"/>
    <w:rsid w:val="00E03AEF"/>
    <w:rsid w:val="00E06F47"/>
    <w:rsid w:val="00E12821"/>
    <w:rsid w:val="00E1387D"/>
    <w:rsid w:val="00E14BBE"/>
    <w:rsid w:val="00E1745B"/>
    <w:rsid w:val="00E23671"/>
    <w:rsid w:val="00E24F5D"/>
    <w:rsid w:val="00E2536B"/>
    <w:rsid w:val="00E25DEE"/>
    <w:rsid w:val="00E33879"/>
    <w:rsid w:val="00E346FC"/>
    <w:rsid w:val="00E34B0F"/>
    <w:rsid w:val="00E3526F"/>
    <w:rsid w:val="00E44B64"/>
    <w:rsid w:val="00E50A93"/>
    <w:rsid w:val="00E519EA"/>
    <w:rsid w:val="00E523F3"/>
    <w:rsid w:val="00E52767"/>
    <w:rsid w:val="00E53619"/>
    <w:rsid w:val="00E55A7B"/>
    <w:rsid w:val="00E57FC6"/>
    <w:rsid w:val="00E60525"/>
    <w:rsid w:val="00E629C4"/>
    <w:rsid w:val="00E65126"/>
    <w:rsid w:val="00E74409"/>
    <w:rsid w:val="00E74EE9"/>
    <w:rsid w:val="00E757A1"/>
    <w:rsid w:val="00E76DCC"/>
    <w:rsid w:val="00E77B2C"/>
    <w:rsid w:val="00E8014D"/>
    <w:rsid w:val="00E80C55"/>
    <w:rsid w:val="00E82311"/>
    <w:rsid w:val="00E833A2"/>
    <w:rsid w:val="00E841AA"/>
    <w:rsid w:val="00E8511F"/>
    <w:rsid w:val="00E864CA"/>
    <w:rsid w:val="00E91955"/>
    <w:rsid w:val="00E93E28"/>
    <w:rsid w:val="00EA0088"/>
    <w:rsid w:val="00EA4306"/>
    <w:rsid w:val="00EA50B5"/>
    <w:rsid w:val="00EA5FD7"/>
    <w:rsid w:val="00EA6865"/>
    <w:rsid w:val="00EB292E"/>
    <w:rsid w:val="00EB5677"/>
    <w:rsid w:val="00EC6081"/>
    <w:rsid w:val="00EC7973"/>
    <w:rsid w:val="00ED2367"/>
    <w:rsid w:val="00ED5856"/>
    <w:rsid w:val="00EE1983"/>
    <w:rsid w:val="00EE2D84"/>
    <w:rsid w:val="00EE40BF"/>
    <w:rsid w:val="00EE5896"/>
    <w:rsid w:val="00EE6D1F"/>
    <w:rsid w:val="00EE70AE"/>
    <w:rsid w:val="00EE787C"/>
    <w:rsid w:val="00EF312F"/>
    <w:rsid w:val="00EF41B5"/>
    <w:rsid w:val="00F03E89"/>
    <w:rsid w:val="00F05F3F"/>
    <w:rsid w:val="00F24748"/>
    <w:rsid w:val="00F26421"/>
    <w:rsid w:val="00F31C50"/>
    <w:rsid w:val="00F41A87"/>
    <w:rsid w:val="00F42E42"/>
    <w:rsid w:val="00F53097"/>
    <w:rsid w:val="00F5736D"/>
    <w:rsid w:val="00F63DAD"/>
    <w:rsid w:val="00F66163"/>
    <w:rsid w:val="00F7089C"/>
    <w:rsid w:val="00F70901"/>
    <w:rsid w:val="00F730EA"/>
    <w:rsid w:val="00F773FB"/>
    <w:rsid w:val="00F83843"/>
    <w:rsid w:val="00F8450B"/>
    <w:rsid w:val="00F85E34"/>
    <w:rsid w:val="00F91DC6"/>
    <w:rsid w:val="00F91E31"/>
    <w:rsid w:val="00F933CD"/>
    <w:rsid w:val="00F93F69"/>
    <w:rsid w:val="00F95442"/>
    <w:rsid w:val="00F96EE7"/>
    <w:rsid w:val="00FA5C4B"/>
    <w:rsid w:val="00FA7FBF"/>
    <w:rsid w:val="00FB2667"/>
    <w:rsid w:val="00FC4777"/>
    <w:rsid w:val="00FC57AB"/>
    <w:rsid w:val="00FC6870"/>
    <w:rsid w:val="00FD027F"/>
    <w:rsid w:val="00FD0B87"/>
    <w:rsid w:val="00FD5062"/>
    <w:rsid w:val="00FD56BC"/>
    <w:rsid w:val="00FD63EF"/>
    <w:rsid w:val="00FE024F"/>
    <w:rsid w:val="00FF02B6"/>
    <w:rsid w:val="00FF1D36"/>
    <w:rsid w:val="00FF4179"/>
    <w:rsid w:val="00FF4413"/>
    <w:rsid w:val="00FF53D0"/>
    <w:rsid w:val="00FF7D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en.wikipedia.org/wiki/Primary_car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Referral_(medici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en.wikipedia.org/wiki/Secondary_car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HNA\2014\process%202\FINAL%20SHEETS\Graph%20GDP2014.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HNA\2014\process%202\FINAL%20SHEETS\Graph%20GDP2014.xlsx" TargetMode="External"/><Relationship Id="rId1" Type="http://schemas.openxmlformats.org/officeDocument/2006/relationships/image" Target="../media/image1.jpeg"/></Relationships>
</file>

<file path=word/charts/_rels/chart3.xml.rels><?xml version="1.0" encoding="UTF-8" standalone="yes"?>
<Relationships xmlns="http://schemas.openxmlformats.org/package/2006/relationships"><Relationship Id="rId1" Type="http://schemas.openxmlformats.org/officeDocument/2006/relationships/oleObject" Target="file:///C:\HNA\2014\process%202\FINAL%20SHEETS\Graph%20GDP201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2014\process%202\FINAL%20SHEETS\Graph%20GDP20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46184697209879"/>
          <c:y val="7.8328400439307042E-2"/>
          <c:w val="0.85913469359043793"/>
          <c:h val="0.74616957410710405"/>
        </c:manualLayout>
      </c:layout>
      <c:lineChart>
        <c:grouping val="standard"/>
        <c:ser>
          <c:idx val="1"/>
          <c:order val="0"/>
          <c:tx>
            <c:strRef>
              <c:f>Sheet1!$A$10</c:f>
              <c:strCache>
                <c:ptCount val="1"/>
                <c:pt idx="0">
                  <c:v>Total Health Expenditure</c:v>
                </c:pt>
              </c:strCache>
            </c:strRef>
          </c:tx>
          <c:spPr>
            <a:ln w="12700">
              <a:solidFill>
                <a:srgbClr val="000000"/>
              </a:solidFill>
              <a:prstDash val="solid"/>
            </a:ln>
          </c:spPr>
          <c:marker>
            <c:symbol val="none"/>
          </c:marker>
          <c:dLbls>
            <c:dLbl>
              <c:idx val="0"/>
              <c:layout>
                <c:manualLayout>
                  <c:x val="-9.905894006934186E-3"/>
                  <c:y val="3.7479570372852489E-2"/>
                </c:manualLayout>
              </c:layout>
              <c:tx>
                <c:rich>
                  <a:bodyPr/>
                  <a:lstStyle/>
                  <a:p>
                    <a:pPr>
                      <a:defRPr sz="900">
                        <a:cs typeface="+mn-cs"/>
                      </a:defRPr>
                    </a:pPr>
                    <a:r>
                      <a:rPr lang="en-US" sz="900">
                        <a:cs typeface="+mn-cs"/>
                      </a:rPr>
                      <a:t>397.2</a:t>
                    </a:r>
                  </a:p>
                </c:rich>
              </c:tx>
              <c:spP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layout>
                <c:manualLayout>
                  <c:x val="-6.5378900445765414E-2"/>
                  <c:y val="-5.2009456264775406E-2"/>
                </c:manualLayout>
              </c:layout>
              <c:tx>
                <c:rich>
                  <a:bodyPr/>
                  <a:lstStyle/>
                  <a:p>
                    <a:r>
                      <a:rPr lang="en-US" sz="900"/>
                      <a:t>1,391.4</a:t>
                    </a:r>
                    <a:endParaRPr lang="en-US"/>
                  </a:p>
                </c:rich>
              </c:tx>
              <c:showVal val="1"/>
            </c:dLbl>
            <c:txPr>
              <a:bodyPr/>
              <a:lstStyle/>
              <a:p>
                <a:pPr>
                  <a:defRPr sz="900"/>
                </a:pPr>
                <a:endParaRPr lang="ar-SA"/>
              </a:p>
            </c:txPr>
            <c:showVal val="1"/>
          </c:dLbls>
          <c:cat>
            <c:numRef>
              <c:f>Sheet1!$B$9:$P$9</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Sheet1!$B$10:$P$10</c:f>
              <c:numCache>
                <c:formatCode>General</c:formatCode>
                <c:ptCount val="15"/>
                <c:pt idx="0">
                  <c:v>397.1</c:v>
                </c:pt>
                <c:pt idx="1">
                  <c:v>385.86799767681396</c:v>
                </c:pt>
                <c:pt idx="2">
                  <c:v>408.69601844317083</c:v>
                </c:pt>
                <c:pt idx="3">
                  <c:v>431.08645826122557</c:v>
                </c:pt>
                <c:pt idx="4">
                  <c:v>540.053228517295</c:v>
                </c:pt>
                <c:pt idx="5">
                  <c:v>574.72360292217354</c:v>
                </c:pt>
                <c:pt idx="6">
                  <c:v>642.91642019104711</c:v>
                </c:pt>
                <c:pt idx="7">
                  <c:v>683.79490864925447</c:v>
                </c:pt>
                <c:pt idx="8">
                  <c:v>893.8304752892476</c:v>
                </c:pt>
                <c:pt idx="9">
                  <c:v>959</c:v>
                </c:pt>
                <c:pt idx="10">
                  <c:v>1074.7</c:v>
                </c:pt>
                <c:pt idx="11">
                  <c:v>1201</c:v>
                </c:pt>
                <c:pt idx="12">
                  <c:v>1261.9000000000001</c:v>
                </c:pt>
                <c:pt idx="13" formatCode="#,##0.0">
                  <c:v>1347.4470231366861</c:v>
                </c:pt>
                <c:pt idx="14" formatCode="#,##0.00">
                  <c:v>1391.4</c:v>
                </c:pt>
              </c:numCache>
            </c:numRef>
          </c:val>
        </c:ser>
        <c:marker val="1"/>
        <c:axId val="120189696"/>
        <c:axId val="120191616"/>
      </c:lineChart>
      <c:catAx>
        <c:axId val="120189696"/>
        <c:scaling>
          <c:orientation val="minMax"/>
        </c:scaling>
        <c:axPos val="b"/>
        <c:title>
          <c:tx>
            <c:rich>
              <a:bodyPr/>
              <a:lstStyle/>
              <a:p>
                <a:pPr>
                  <a:defRPr b="1"/>
                </a:pPr>
                <a:r>
                  <a:rPr lang="en-US" sz="900" b="1"/>
                  <a:t>Year</a:t>
                </a:r>
              </a:p>
            </c:rich>
          </c:tx>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0191616"/>
        <c:crosses val="autoZero"/>
        <c:auto val="1"/>
        <c:lblAlgn val="ctr"/>
        <c:lblOffset val="100"/>
        <c:tickLblSkip val="1"/>
        <c:tickMarkSkip val="1"/>
      </c:catAx>
      <c:valAx>
        <c:axId val="120191616"/>
        <c:scaling>
          <c:orientation val="minMax"/>
        </c:scaling>
        <c:axPos val="l"/>
        <c:majorGridlines>
          <c:spPr>
            <a:ln w="3175">
              <a:solidFill>
                <a:schemeClr val="bg1">
                  <a:lumMod val="85000"/>
                </a:schemeClr>
              </a:solidFill>
              <a:prstDash val="solid"/>
            </a:ln>
          </c:spPr>
        </c:majorGridlines>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rgbClr val="000000"/>
                    </a:solidFill>
                    <a:latin typeface="Arial" pitchFamily="34" charset="0"/>
                    <a:ea typeface="Arial"/>
                    <a:cs typeface="Arial" pitchFamily="34" charset="0"/>
                  </a:defRPr>
                </a:pPr>
                <a:r>
                  <a:rPr lang="en-US" sz="900" b="1">
                    <a:latin typeface="Arial" pitchFamily="34" charset="0"/>
                    <a:cs typeface="Arial" pitchFamily="34" charset="0"/>
                  </a:rPr>
                  <a:t>Current health expenditure</a:t>
                </a:r>
                <a:br>
                  <a:rPr lang="en-US" sz="900" b="1">
                    <a:latin typeface="Arial" pitchFamily="34" charset="0"/>
                    <a:cs typeface="Arial" pitchFamily="34" charset="0"/>
                  </a:rPr>
                </a:br>
                <a:r>
                  <a:rPr lang="en-US" sz="900" b="1">
                    <a:latin typeface="Arial" pitchFamily="34" charset="0"/>
                    <a:cs typeface="Arial" pitchFamily="34" charset="0"/>
                  </a:rPr>
                  <a:t>In million USD </a:t>
                </a:r>
              </a:p>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rgbClr val="000000"/>
                    </a:solidFill>
                    <a:latin typeface="Arial" pitchFamily="34" charset="0"/>
                    <a:ea typeface="Arial"/>
                    <a:cs typeface="Arial" pitchFamily="34" charset="0"/>
                  </a:defRPr>
                </a:pPr>
                <a:endParaRPr lang="en-US" sz="900" b="1">
                  <a:latin typeface="Arial" pitchFamily="34" charset="0"/>
                  <a:cs typeface="Arial" pitchFamily="34" charset="0"/>
                </a:endParaRPr>
              </a:p>
            </c:rich>
          </c:tx>
        </c:title>
        <c:numFmt formatCode="#,##0" sourceLinked="0"/>
        <c:tickLblPos val="nextTo"/>
        <c:spPr>
          <a:noFill/>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0189696"/>
        <c:crosses val="autoZero"/>
        <c:crossBetween val="between"/>
      </c:valAx>
      <c:spPr>
        <a:solidFill>
          <a:schemeClr val="bg1"/>
        </a:solidFill>
        <a:ln w="12700">
          <a:solidFill>
            <a:schemeClr val="bg1">
              <a:lumMod val="85000"/>
            </a:schemeClr>
          </a:solidFill>
          <a:prstDash val="solid"/>
        </a:ln>
        <a:effectLst>
          <a:outerShdw blurRad="50800" dist="50800" dir="5400000" algn="ctr" rotWithShape="0">
            <a:schemeClr val="bg1"/>
          </a:outerShdw>
        </a:effectLst>
      </c:spPr>
    </c:plotArea>
    <c:plotVisOnly val="1"/>
    <c:dispBlanksAs val="gap"/>
  </c:chart>
  <c:spPr>
    <a:noFill/>
    <a:ln w="3175">
      <a:noFill/>
      <a:prstDash val="solid"/>
    </a:ln>
  </c:spPr>
  <c:txPr>
    <a:bodyPr/>
    <a:lstStyle/>
    <a:p>
      <a:pPr>
        <a:defRPr sz="107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63354621388944"/>
          <c:y val="4.2868203118445913E-2"/>
          <c:w val="0.63341797259056065"/>
          <c:h val="0.82694279653399583"/>
        </c:manualLayout>
      </c:layout>
      <c:barChart>
        <c:barDir val="bar"/>
        <c:grouping val="clustered"/>
        <c:ser>
          <c:idx val="0"/>
          <c:order val="0"/>
          <c:tx>
            <c:strRef>
              <c:f>HF!$J$1</c:f>
              <c:strCache>
                <c:ptCount val="1"/>
                <c:pt idx="0">
                  <c:v>2013</c:v>
                </c:pt>
              </c:strCache>
            </c:strRef>
          </c:tx>
          <c:spPr>
            <a:blipFill>
              <a:blip xmlns:r="http://schemas.openxmlformats.org/officeDocument/2006/relationships" r:embed="rId1"/>
              <a:tile tx="0" ty="0" sx="100000" sy="100000" flip="none" algn="tl"/>
            </a:blipFill>
            <a:ln>
              <a:solidFill>
                <a:schemeClr val="tx1"/>
              </a:solidFill>
            </a:ln>
          </c:spPr>
          <c:cat>
            <c:strRef>
              <c:f>HF!$G$2:$G$6</c:f>
              <c:strCache>
                <c:ptCount val="5"/>
                <c:pt idx="0">
                  <c:v>General Government </c:v>
                </c:pt>
                <c:pt idx="1">
                  <c:v>Private Households Out-of-Pocket Expenditure</c:v>
                </c:pt>
                <c:pt idx="2">
                  <c:v>Non-Profit Institutions Serving Households (NPISH)</c:v>
                </c:pt>
                <c:pt idx="3">
                  <c:v>Private Insurance Enterprises</c:v>
                </c:pt>
                <c:pt idx="4">
                  <c:v>Rest of the World</c:v>
                </c:pt>
              </c:strCache>
            </c:strRef>
          </c:cat>
          <c:val>
            <c:numRef>
              <c:f>HF!$J$2:$J$6</c:f>
              <c:numCache>
                <c:formatCode>General</c:formatCode>
                <c:ptCount val="5"/>
                <c:pt idx="0">
                  <c:v>43.3</c:v>
                </c:pt>
                <c:pt idx="1">
                  <c:v>37.700000000000003</c:v>
                </c:pt>
                <c:pt idx="2">
                  <c:v>15.8</c:v>
                </c:pt>
                <c:pt idx="3">
                  <c:v>2.2000000000000002</c:v>
                </c:pt>
                <c:pt idx="4">
                  <c:v>1</c:v>
                </c:pt>
              </c:numCache>
            </c:numRef>
          </c:val>
        </c:ser>
        <c:ser>
          <c:idx val="1"/>
          <c:order val="1"/>
          <c:tx>
            <c:strRef>
              <c:f>HF!$K$1</c:f>
              <c:strCache>
                <c:ptCount val="1"/>
                <c:pt idx="0">
                  <c:v>2014</c:v>
                </c:pt>
              </c:strCache>
            </c:strRef>
          </c:tx>
          <c:spPr>
            <a:ln>
              <a:solidFill>
                <a:schemeClr val="tx1"/>
              </a:solidFill>
            </a:ln>
          </c:spPr>
          <c:dLbls>
            <c:txPr>
              <a:bodyPr/>
              <a:lstStyle/>
              <a:p>
                <a:pPr>
                  <a:defRPr sz="900">
                    <a:latin typeface="Arial" pitchFamily="34" charset="0"/>
                    <a:cs typeface="Arial" pitchFamily="34" charset="0"/>
                  </a:defRPr>
                </a:pPr>
                <a:endParaRPr lang="ar-SA"/>
              </a:p>
            </c:txPr>
            <c:showVal val="1"/>
          </c:dLbls>
          <c:cat>
            <c:strRef>
              <c:f>HF!$G$2:$G$6</c:f>
              <c:strCache>
                <c:ptCount val="5"/>
                <c:pt idx="0">
                  <c:v>General Government </c:v>
                </c:pt>
                <c:pt idx="1">
                  <c:v>Private Households Out-of-Pocket Expenditure</c:v>
                </c:pt>
                <c:pt idx="2">
                  <c:v>Non-Profit Institutions Serving Households (NPISH)</c:v>
                </c:pt>
                <c:pt idx="3">
                  <c:v>Private Insurance Enterprises</c:v>
                </c:pt>
                <c:pt idx="4">
                  <c:v>Rest of the World</c:v>
                </c:pt>
              </c:strCache>
            </c:strRef>
          </c:cat>
          <c:val>
            <c:numRef>
              <c:f>HF!$K$2:$K$6</c:f>
              <c:numCache>
                <c:formatCode>General</c:formatCode>
                <c:ptCount val="5"/>
                <c:pt idx="0">
                  <c:v>36.9</c:v>
                </c:pt>
                <c:pt idx="1">
                  <c:v>40.800000000000004</c:v>
                </c:pt>
                <c:pt idx="2">
                  <c:v>18.3</c:v>
                </c:pt>
                <c:pt idx="3">
                  <c:v>3.1</c:v>
                </c:pt>
                <c:pt idx="4">
                  <c:v>0.9</c:v>
                </c:pt>
              </c:numCache>
            </c:numRef>
          </c:val>
        </c:ser>
        <c:dLbls>
          <c:showVal val="1"/>
        </c:dLbls>
        <c:gapWidth val="75"/>
        <c:axId val="132128128"/>
        <c:axId val="132129920"/>
      </c:barChart>
      <c:catAx>
        <c:axId val="132128128"/>
        <c:scaling>
          <c:orientation val="minMax"/>
        </c:scaling>
        <c:axPos val="l"/>
        <c:tickLblPos val="nextTo"/>
        <c:txPr>
          <a:bodyPr/>
          <a:lstStyle/>
          <a:p>
            <a:pPr>
              <a:defRPr sz="900" b="0">
                <a:latin typeface="Arial" pitchFamily="34" charset="0"/>
                <a:cs typeface="Arial" pitchFamily="34" charset="0"/>
              </a:defRPr>
            </a:pPr>
            <a:endParaRPr lang="ar-SA"/>
          </a:p>
        </c:txPr>
        <c:crossAx val="132129920"/>
        <c:crosses val="autoZero"/>
        <c:auto val="1"/>
        <c:lblAlgn val="l"/>
        <c:lblOffset val="100"/>
      </c:catAx>
      <c:valAx>
        <c:axId val="132129920"/>
        <c:scaling>
          <c:orientation val="minMax"/>
        </c:scaling>
        <c:axPos val="b"/>
        <c:numFmt formatCode="General" sourceLinked="1"/>
        <c:tickLblPos val="nextTo"/>
        <c:txPr>
          <a:bodyPr/>
          <a:lstStyle/>
          <a:p>
            <a:pPr>
              <a:defRPr sz="900">
                <a:latin typeface="Arial" pitchFamily="34" charset="0"/>
                <a:cs typeface="Arial" pitchFamily="34" charset="0"/>
              </a:defRPr>
            </a:pPr>
            <a:endParaRPr lang="ar-SA"/>
          </a:p>
        </c:txPr>
        <c:crossAx val="132128128"/>
        <c:crosses val="autoZero"/>
        <c:crossBetween val="between"/>
      </c:valAx>
    </c:plotArea>
    <c:legend>
      <c:legendPos val="b"/>
      <c:layout>
        <c:manualLayout>
          <c:xMode val="edge"/>
          <c:yMode val="edge"/>
          <c:x val="0.76019485147138222"/>
          <c:y val="8.3620547431571199E-2"/>
          <c:w val="0.21717300238132506"/>
          <c:h val="0.12664416947881516"/>
        </c:manualLayout>
      </c:layout>
      <c:spPr>
        <a:ln>
          <a:solidFill>
            <a:sysClr val="windowText" lastClr="000000"/>
          </a:solidFill>
        </a:ln>
      </c:spPr>
      <c:txPr>
        <a:bodyPr/>
        <a:lstStyle/>
        <a:p>
          <a:pPr>
            <a:defRPr sz="900">
              <a:cs typeface="+mn-cs"/>
            </a:defRPr>
          </a:pPr>
          <a:endParaRPr lang="ar-SA"/>
        </a:p>
      </c:txPr>
    </c:legend>
    <c:plotVisOnly val="1"/>
  </c:chart>
  <c:spPr>
    <a:noFill/>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638507934852515"/>
          <c:y val="0.12532343987823441"/>
          <c:w val="0.82643513931619472"/>
          <c:h val="0.76868340943683511"/>
        </c:manualLayout>
      </c:layout>
      <c:ofPieChart>
        <c:ofPieType val="pie"/>
        <c:varyColors val="1"/>
        <c:ser>
          <c:idx val="0"/>
          <c:order val="0"/>
          <c:dPt>
            <c:idx val="6"/>
            <c:spPr>
              <a:solidFill>
                <a:schemeClr val="tx2">
                  <a:lumMod val="75000"/>
                </a:schemeClr>
              </a:solidFill>
            </c:spPr>
          </c:dPt>
          <c:dLbls>
            <c:dLbl>
              <c:idx val="0"/>
              <c:layout>
                <c:manualLayout>
                  <c:x val="0.22066379633580288"/>
                  <c:y val="0.10541957956190059"/>
                </c:manualLayout>
              </c:layout>
              <c:tx>
                <c:rich>
                  <a:bodyPr/>
                  <a:lstStyle/>
                  <a:p>
                    <a:r>
                      <a:rPr lang="en-US" sz="800">
                        <a:latin typeface="Arial" pitchFamily="34" charset="0"/>
                        <a:cs typeface="Arial" pitchFamily="34" charset="0"/>
                      </a:rPr>
                      <a:t>S</a:t>
                    </a:r>
                    <a:r>
                      <a:rPr lang="en-US"/>
                      <a:t>ervices of rehabilitative care 2.1%</a:t>
                    </a:r>
                  </a:p>
                </c:rich>
              </c:tx>
              <c:showCatName val="1"/>
              <c:showPercent val="1"/>
            </c:dLbl>
            <c:dLbl>
              <c:idx val="1"/>
              <c:layout>
                <c:manualLayout>
                  <c:x val="2.4939741907261601E-2"/>
                  <c:y val="7.2446412948382014E-2"/>
                </c:manualLayout>
              </c:layout>
              <c:tx>
                <c:rich>
                  <a:bodyPr/>
                  <a:lstStyle/>
                  <a:p>
                    <a:r>
                      <a:rPr lang="en-US" sz="800">
                        <a:latin typeface="Arial" pitchFamily="34" charset="0"/>
                        <a:cs typeface="Arial" pitchFamily="34" charset="0"/>
                      </a:rPr>
                      <a:t>I</a:t>
                    </a:r>
                    <a:r>
                      <a:rPr lang="en-US"/>
                      <a:t>n-Patient long-term nursing care 0.5%</a:t>
                    </a:r>
                  </a:p>
                </c:rich>
              </c:tx>
              <c:showCatName val="1"/>
              <c:showPercent val="1"/>
            </c:dLbl>
            <c:dLbl>
              <c:idx val="2"/>
              <c:layout>
                <c:manualLayout>
                  <c:x val="-1.7791451565243085E-2"/>
                  <c:y val="-4.1834094368340964E-2"/>
                </c:manualLayout>
              </c:layout>
              <c:tx>
                <c:rich>
                  <a:bodyPr/>
                  <a:lstStyle/>
                  <a:p>
                    <a:r>
                      <a:rPr lang="en-US" sz="800">
                        <a:latin typeface="Arial" pitchFamily="34" charset="0"/>
                        <a:cs typeface="Arial" pitchFamily="34" charset="0"/>
                      </a:rPr>
                      <a:t>A</a:t>
                    </a:r>
                    <a:r>
                      <a:rPr lang="en-US"/>
                      <a:t>ncillary services to health care 3.2%</a:t>
                    </a:r>
                  </a:p>
                </c:rich>
              </c:tx>
              <c:showCatName val="1"/>
              <c:showPercent val="1"/>
            </c:dLbl>
            <c:dLbl>
              <c:idx val="3"/>
              <c:layout>
                <c:manualLayout>
                  <c:x val="1.2151709513132079E-3"/>
                  <c:y val="-6.5347792998477927E-2"/>
                </c:manualLayout>
              </c:layout>
              <c:tx>
                <c:rich>
                  <a:bodyPr/>
                  <a:lstStyle/>
                  <a:p>
                    <a:r>
                      <a:rPr lang="en-US" sz="800">
                        <a:latin typeface="Arial" pitchFamily="34" charset="0"/>
                        <a:cs typeface="Arial" pitchFamily="34" charset="0"/>
                      </a:rPr>
                      <a:t>M</a:t>
                    </a:r>
                    <a:r>
                      <a:rPr lang="en-US"/>
                      <a:t>edical goods dispensed to out-patient  16.6%</a:t>
                    </a:r>
                  </a:p>
                </c:rich>
              </c:tx>
              <c:showCatName val="1"/>
              <c:showPercent val="1"/>
            </c:dLbl>
            <c:dLbl>
              <c:idx val="4"/>
              <c:layout>
                <c:manualLayout>
                  <c:x val="-2.4677652048460851E-2"/>
                  <c:y val="1.6543759512937656E-2"/>
                </c:manualLayout>
              </c:layout>
              <c:tx>
                <c:rich>
                  <a:bodyPr/>
                  <a:lstStyle/>
                  <a:p>
                    <a:r>
                      <a:rPr lang="en-US" sz="800">
                        <a:latin typeface="Arial" pitchFamily="34" charset="0"/>
                        <a:cs typeface="Arial" pitchFamily="34" charset="0"/>
                      </a:rPr>
                      <a:t>P</a:t>
                    </a:r>
                    <a:r>
                      <a:rPr lang="en-US"/>
                      <a:t>revention and Public health services  3.1%</a:t>
                    </a:r>
                  </a:p>
                </c:rich>
              </c:tx>
              <c:showCatName val="1"/>
              <c:showPercent val="1"/>
            </c:dLbl>
            <c:dLbl>
              <c:idx val="5"/>
              <c:layout>
                <c:manualLayout>
                  <c:x val="8.8474040082738188E-4"/>
                  <c:y val="-5.7574345262916875E-2"/>
                </c:manualLayout>
              </c:layout>
              <c:tx>
                <c:rich>
                  <a:bodyPr/>
                  <a:lstStyle/>
                  <a:p>
                    <a:r>
                      <a:rPr lang="en-US" sz="800">
                        <a:latin typeface="Arial" pitchFamily="34" charset="0"/>
                        <a:cs typeface="Arial" pitchFamily="34" charset="0"/>
                      </a:rPr>
                      <a:t>H</a:t>
                    </a:r>
                    <a:r>
                      <a:rPr lang="en-US"/>
                      <a:t>ealth Administration and health Insurance </a:t>
                    </a:r>
                  </a:p>
                  <a:p>
                    <a:r>
                      <a:rPr lang="en-US"/>
                      <a:t>7.7%</a:t>
                    </a:r>
                  </a:p>
                </c:rich>
              </c:tx>
              <c:showCatName val="1"/>
              <c:showPercent val="1"/>
            </c:dLbl>
            <c:dLbl>
              <c:idx val="6"/>
              <c:layout>
                <c:manualLayout>
                  <c:x val="7.6943734682171404E-3"/>
                  <c:y val="-0.11311796305835595"/>
                </c:manualLayout>
              </c:layout>
              <c:tx>
                <c:rich>
                  <a:bodyPr/>
                  <a:lstStyle/>
                  <a:p>
                    <a:r>
                      <a:rPr lang="en-US" sz="800">
                        <a:latin typeface="Arial" pitchFamily="34" charset="0"/>
                        <a:cs typeface="Arial" pitchFamily="34" charset="0"/>
                      </a:rPr>
                      <a:t>I</a:t>
                    </a:r>
                    <a:r>
                      <a:rPr lang="en-US"/>
                      <a:t>n-patient curative care 25% </a:t>
                    </a:r>
                  </a:p>
                </c:rich>
              </c:tx>
              <c:showCatName val="1"/>
              <c:showPercent val="1"/>
            </c:dLbl>
            <c:dLbl>
              <c:idx val="7"/>
              <c:layout>
                <c:manualLayout>
                  <c:x val="-9.7669082755384067E-4"/>
                  <c:y val="-0.3204094368340949"/>
                </c:manualLayout>
              </c:layout>
              <c:tx>
                <c:rich>
                  <a:bodyPr/>
                  <a:lstStyle/>
                  <a:p>
                    <a:r>
                      <a:rPr lang="en-US" sz="800">
                        <a:latin typeface="Arial" pitchFamily="34" charset="0"/>
                        <a:cs typeface="Arial" pitchFamily="34" charset="0"/>
                      </a:rPr>
                      <a:t>O</a:t>
                    </a:r>
                    <a:r>
                      <a:rPr lang="en-US"/>
                      <a:t>ut-patient curative care  35.2%</a:t>
                    </a:r>
                  </a:p>
                </c:rich>
              </c:tx>
              <c:showCatName val="1"/>
              <c:showPercent val="1"/>
            </c:dLbl>
            <c:dLbl>
              <c:idx val="8"/>
              <c:layout>
                <c:manualLayout>
                  <c:x val="3.4285614298212731E-2"/>
                  <c:y val="5.1784595891030911E-2"/>
                </c:manualLayout>
              </c:layout>
              <c:tx>
                <c:rich>
                  <a:bodyPr/>
                  <a:lstStyle/>
                  <a:p>
                    <a:r>
                      <a:rPr lang="en-US" sz="800">
                        <a:latin typeface="Arial" pitchFamily="34" charset="0"/>
                        <a:cs typeface="Arial" pitchFamily="34" charset="0"/>
                      </a:rPr>
                      <a:t>N</a:t>
                    </a:r>
                    <a:r>
                      <a:rPr lang="en-US"/>
                      <a:t>on classified Services of curative care 6.6%</a:t>
                    </a:r>
                  </a:p>
                </c:rich>
              </c:tx>
              <c:showCatName val="1"/>
              <c:showPercent val="1"/>
            </c:dLbl>
            <c:dLbl>
              <c:idx val="9"/>
              <c:layout>
                <c:manualLayout>
                  <c:x val="-8.3735725087344497E-3"/>
                  <c:y val="0.17815193661539971"/>
                </c:manualLayout>
              </c:layout>
              <c:tx>
                <c:rich>
                  <a:bodyPr/>
                  <a:lstStyle/>
                  <a:p>
                    <a:r>
                      <a:rPr lang="en-US" sz="800">
                        <a:latin typeface="Arial" pitchFamily="34" charset="0"/>
                        <a:cs typeface="Arial" pitchFamily="34" charset="0"/>
                      </a:rPr>
                      <a:t>S</a:t>
                    </a:r>
                    <a:r>
                      <a:rPr lang="en-US"/>
                      <a:t>ervices</a:t>
                    </a:r>
                    <a:r>
                      <a:rPr lang="en-US" baseline="0"/>
                      <a:t> of curative care 66.8%</a:t>
                    </a:r>
                    <a:endParaRPr lang="en-US"/>
                  </a:p>
                </c:rich>
              </c:tx>
              <c:showCatName val="1"/>
              <c:showPercent val="1"/>
            </c:dLbl>
            <c:txPr>
              <a:bodyPr/>
              <a:lstStyle/>
              <a:p>
                <a:pPr>
                  <a:defRPr sz="800"/>
                </a:pPr>
                <a:endParaRPr lang="ar-SA"/>
              </a:p>
            </c:txPr>
            <c:showCatName val="1"/>
            <c:showPercent val="1"/>
            <c:showLeaderLines val="1"/>
          </c:dLbls>
          <c:cat>
            <c:strRef>
              <c:f>'HC (2)'!$A$37:$A$45</c:f>
              <c:strCache>
                <c:ptCount val="9"/>
                <c:pt idx="0">
                  <c:v>Services of rehabilitative care 2.1%</c:v>
                </c:pt>
                <c:pt idx="1">
                  <c:v>In-Patient long-term nursing care 0.5%</c:v>
                </c:pt>
                <c:pt idx="2">
                  <c:v>Ancillary services to health care 3.2%</c:v>
                </c:pt>
                <c:pt idx="3">
                  <c:v>Medical goods dispensed to out-patient 16.6%</c:v>
                </c:pt>
                <c:pt idx="4">
                  <c:v>Prevention and Public health services 3.1%</c:v>
                </c:pt>
                <c:pt idx="5">
                  <c:v>Health Administration and health Insurance 7.7%</c:v>
                </c:pt>
                <c:pt idx="6">
                  <c:v>In-patient curative care 25.0%</c:v>
                </c:pt>
                <c:pt idx="7">
                  <c:v>Out-patient curative care 35.2%</c:v>
                </c:pt>
                <c:pt idx="8">
                  <c:v>Non classified Services of curative care 6.6%</c:v>
                </c:pt>
              </c:strCache>
            </c:strRef>
          </c:cat>
          <c:val>
            <c:numRef>
              <c:f>'HC (2)'!$B$37:$B$45</c:f>
              <c:numCache>
                <c:formatCode>General</c:formatCode>
                <c:ptCount val="9"/>
                <c:pt idx="0">
                  <c:v>2.1</c:v>
                </c:pt>
                <c:pt idx="1">
                  <c:v>0.5</c:v>
                </c:pt>
                <c:pt idx="2">
                  <c:v>3.2</c:v>
                </c:pt>
                <c:pt idx="3">
                  <c:v>16.600000000000001</c:v>
                </c:pt>
                <c:pt idx="4">
                  <c:v>3.1</c:v>
                </c:pt>
                <c:pt idx="5">
                  <c:v>7.7</c:v>
                </c:pt>
                <c:pt idx="6">
                  <c:v>25</c:v>
                </c:pt>
                <c:pt idx="7">
                  <c:v>35.200000000000003</c:v>
                </c:pt>
                <c:pt idx="8">
                  <c:v>6.6</c:v>
                </c:pt>
              </c:numCache>
            </c:numRef>
          </c:val>
        </c:ser>
        <c:gapWidth val="100"/>
        <c:secondPieSize val="75"/>
        <c:serLines/>
      </c:ofPieChart>
      <c:spPr>
        <a:noFill/>
        <a:ln w="25400">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826597545953523"/>
          <c:y val="0.12040494938132743"/>
          <c:w val="0.76757524712396064"/>
          <c:h val="0.72779802780406999"/>
        </c:manualLayout>
      </c:layout>
      <c:barChart>
        <c:barDir val="col"/>
        <c:grouping val="clustered"/>
        <c:ser>
          <c:idx val="0"/>
          <c:order val="0"/>
          <c:tx>
            <c:strRef>
              <c:f>Figures!$A$8</c:f>
              <c:strCache>
                <c:ptCount val="1"/>
                <c:pt idx="0">
                  <c:v>GDP</c:v>
                </c:pt>
              </c:strCache>
            </c:strRef>
          </c:tx>
          <c:cat>
            <c:numRef>
              <c:f>Figures!$B$1:$P$1</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Figures!$B$2:$P$2</c:f>
              <c:numCache>
                <c:formatCode>#,##0.0</c:formatCode>
                <c:ptCount val="15"/>
                <c:pt idx="0">
                  <c:v>4313.6000000000004</c:v>
                </c:pt>
                <c:pt idx="1">
                  <c:v>4003.7</c:v>
                </c:pt>
                <c:pt idx="2">
                  <c:v>3555.8</c:v>
                </c:pt>
                <c:pt idx="3">
                  <c:v>3968</c:v>
                </c:pt>
                <c:pt idx="4">
                  <c:v>4329.2</c:v>
                </c:pt>
                <c:pt idx="5">
                  <c:v>4831.8</c:v>
                </c:pt>
                <c:pt idx="6">
                  <c:v>4910.1000000000004</c:v>
                </c:pt>
                <c:pt idx="7">
                  <c:v>5505.8</c:v>
                </c:pt>
                <c:pt idx="8">
                  <c:v>6673.5</c:v>
                </c:pt>
                <c:pt idx="9">
                  <c:v>7268.2</c:v>
                </c:pt>
                <c:pt idx="10">
                  <c:v>8913.1</c:v>
                </c:pt>
                <c:pt idx="11">
                  <c:v>10465.4</c:v>
                </c:pt>
                <c:pt idx="12">
                  <c:v>11279.4</c:v>
                </c:pt>
                <c:pt idx="13">
                  <c:v>12476</c:v>
                </c:pt>
                <c:pt idx="14">
                  <c:v>12715.6</c:v>
                </c:pt>
              </c:numCache>
            </c:numRef>
          </c:val>
        </c:ser>
        <c:ser>
          <c:idx val="1"/>
          <c:order val="1"/>
          <c:tx>
            <c:strRef>
              <c:f>Figures!$A$9</c:f>
              <c:strCache>
                <c:ptCount val="1"/>
                <c:pt idx="0">
                  <c:v>Total Health Expenditure</c:v>
                </c:pt>
              </c:strCache>
            </c:strRef>
          </c:tx>
          <c:cat>
            <c:numRef>
              <c:f>Figures!$B$1:$P$1</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Figures!$B$3:$P$3</c:f>
              <c:numCache>
                <c:formatCode>#,##0.0</c:formatCode>
                <c:ptCount val="15"/>
                <c:pt idx="0">
                  <c:v>384.3</c:v>
                </c:pt>
                <c:pt idx="1">
                  <c:v>371.7</c:v>
                </c:pt>
                <c:pt idx="2">
                  <c:v>386.2</c:v>
                </c:pt>
                <c:pt idx="3">
                  <c:v>416.9</c:v>
                </c:pt>
                <c:pt idx="4">
                  <c:v>528.29999999999995</c:v>
                </c:pt>
                <c:pt idx="5">
                  <c:v>557.29999999999995</c:v>
                </c:pt>
                <c:pt idx="6">
                  <c:v>624</c:v>
                </c:pt>
                <c:pt idx="7">
                  <c:v>683.8</c:v>
                </c:pt>
                <c:pt idx="8">
                  <c:v>893.8</c:v>
                </c:pt>
                <c:pt idx="9">
                  <c:v>959</c:v>
                </c:pt>
                <c:pt idx="10">
                  <c:v>1074.7</c:v>
                </c:pt>
                <c:pt idx="11">
                  <c:v>1201</c:v>
                </c:pt>
                <c:pt idx="12" formatCode="General">
                  <c:v>1261.9000000000001</c:v>
                </c:pt>
                <c:pt idx="13">
                  <c:v>1347.4470231366861</c:v>
                </c:pt>
                <c:pt idx="14" formatCode="General">
                  <c:v>1391.4</c:v>
                </c:pt>
              </c:numCache>
            </c:numRef>
          </c:val>
        </c:ser>
        <c:axId val="132214144"/>
        <c:axId val="132212224"/>
      </c:barChart>
      <c:lineChart>
        <c:grouping val="standard"/>
        <c:ser>
          <c:idx val="2"/>
          <c:order val="2"/>
          <c:tx>
            <c:strRef>
              <c:f>Figures!$A$11</c:f>
              <c:strCache>
                <c:ptCount val="1"/>
                <c:pt idx="0">
                  <c:v>Percentage of Health expenditure to GDP</c:v>
                </c:pt>
              </c:strCache>
            </c:strRef>
          </c:tx>
          <c:marker>
            <c:symbol val="none"/>
          </c:marker>
          <c:cat>
            <c:numRef>
              <c:f>Figures!$A$1:$M$1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Figures!$B$5:$P$5</c:f>
              <c:numCache>
                <c:formatCode>0.0%</c:formatCode>
                <c:ptCount val="15"/>
                <c:pt idx="0">
                  <c:v>9.2072190281899224E-2</c:v>
                </c:pt>
                <c:pt idx="1">
                  <c:v>9.6377850488298347E-2</c:v>
                </c:pt>
                <c:pt idx="2">
                  <c:v>0.11493784802294835</c:v>
                </c:pt>
                <c:pt idx="3">
                  <c:v>0.10864075100806472</c:v>
                </c:pt>
                <c:pt idx="4">
                  <c:v>0.12474665065139103</c:v>
                </c:pt>
                <c:pt idx="5">
                  <c:v>0.11894606564841262</c:v>
                </c:pt>
                <c:pt idx="6">
                  <c:v>0.13093753691370838</c:v>
                </c:pt>
                <c:pt idx="7">
                  <c:v>0.12653395125459735</c:v>
                </c:pt>
                <c:pt idx="8">
                  <c:v>0.13586666598599798</c:v>
                </c:pt>
                <c:pt idx="9">
                  <c:v>0.13845353457981804</c:v>
                </c:pt>
                <c:pt idx="10">
                  <c:v>0.12687759984237584</c:v>
                </c:pt>
                <c:pt idx="11">
                  <c:v>0.11953787038345179</c:v>
                </c:pt>
                <c:pt idx="12">
                  <c:v>0.11803148589903641</c:v>
                </c:pt>
                <c:pt idx="13">
                  <c:v>0.10876883616543764</c:v>
                </c:pt>
                <c:pt idx="14">
                  <c:v>0.10967630312372206</c:v>
                </c:pt>
              </c:numCache>
            </c:numRef>
          </c:val>
        </c:ser>
        <c:marker val="1"/>
        <c:axId val="132229760"/>
        <c:axId val="132228224"/>
      </c:lineChart>
      <c:valAx>
        <c:axId val="132212224"/>
        <c:scaling>
          <c:orientation val="minMax"/>
        </c:scaling>
        <c:axPos val="l"/>
        <c:title>
          <c:tx>
            <c:rich>
              <a:bodyPr rot="-5400000" vert="horz"/>
              <a:lstStyle/>
              <a:p>
                <a:pPr>
                  <a:defRPr/>
                </a:pPr>
                <a:r>
                  <a:rPr lang="en-US"/>
                  <a:t>In million USD</a:t>
                </a:r>
              </a:p>
            </c:rich>
          </c:tx>
        </c:title>
        <c:numFmt formatCode="#,##0.0" sourceLinked="1"/>
        <c:tickLblPos val="nextTo"/>
        <c:crossAx val="132214144"/>
        <c:crosses val="autoZero"/>
        <c:crossBetween val="between"/>
      </c:valAx>
      <c:catAx>
        <c:axId val="132214144"/>
        <c:scaling>
          <c:orientation val="minMax"/>
        </c:scaling>
        <c:axPos val="b"/>
        <c:numFmt formatCode="General" sourceLinked="1"/>
        <c:tickLblPos val="nextTo"/>
        <c:txPr>
          <a:bodyPr rot="0"/>
          <a:lstStyle/>
          <a:p>
            <a:pPr>
              <a:defRPr sz="800"/>
            </a:pPr>
            <a:endParaRPr lang="ar-SA"/>
          </a:p>
        </c:txPr>
        <c:crossAx val="132212224"/>
        <c:crossesAt val="0"/>
        <c:auto val="1"/>
        <c:lblAlgn val="ctr"/>
        <c:lblOffset val="50"/>
      </c:catAx>
      <c:valAx>
        <c:axId val="132228224"/>
        <c:scaling>
          <c:orientation val="minMax"/>
        </c:scaling>
        <c:axPos val="r"/>
        <c:numFmt formatCode="0.0%" sourceLinked="1"/>
        <c:tickLblPos val="nextTo"/>
        <c:crossAx val="132229760"/>
        <c:crosses val="max"/>
        <c:crossBetween val="between"/>
      </c:valAx>
      <c:catAx>
        <c:axId val="132229760"/>
        <c:scaling>
          <c:orientation val="minMax"/>
        </c:scaling>
        <c:delete val="1"/>
        <c:axPos val="t"/>
        <c:numFmt formatCode="General" sourceLinked="1"/>
        <c:tickLblPos val="none"/>
        <c:crossAx val="132228224"/>
        <c:crosses val="max"/>
        <c:auto val="1"/>
        <c:lblAlgn val="ctr"/>
        <c:lblOffset val="100"/>
      </c:catAx>
      <c:spPr>
        <a:solidFill>
          <a:schemeClr val="bg1"/>
        </a:solidFill>
        <a:ln>
          <a:noFill/>
        </a:ln>
        <a:effectLst>
          <a:outerShdw blurRad="50800" dist="50800" dir="5400000" algn="ctr" rotWithShape="0">
            <a:schemeClr val="bg1"/>
          </a:outerShdw>
        </a:effectLst>
      </c:spPr>
    </c:plotArea>
    <c:legend>
      <c:legendPos val="b"/>
      <c:layout>
        <c:manualLayout>
          <c:xMode val="edge"/>
          <c:yMode val="edge"/>
          <c:x val="0.14501020705745146"/>
          <c:y val="2.5235669070777966E-2"/>
          <c:w val="0.53153271263977564"/>
          <c:h val="0.17683171956446639"/>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7430F-90FE-4038-95BF-F676050D2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16</Pages>
  <Words>5200</Words>
  <Characters>29641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890</cp:revision>
  <cp:lastPrinted>2016-02-16T07:45:00Z</cp:lastPrinted>
  <dcterms:created xsi:type="dcterms:W3CDTF">2012-03-04T11:32:00Z</dcterms:created>
  <dcterms:modified xsi:type="dcterms:W3CDTF">2016-02-16T07:51:00Z</dcterms:modified>
</cp:coreProperties>
</file>